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2E3" w:rsidRDefault="00B532E3">
      <w:pPr>
        <w:pStyle w:val="TOC1"/>
      </w:pPr>
      <w:bookmarkStart w:id="0" w:name="_Toc422391710"/>
      <w:bookmarkStart w:id="1" w:name="_Toc422391711"/>
      <w:bookmarkStart w:id="2" w:name="_Toc422391713"/>
      <w:bookmarkStart w:id="3" w:name="_Toc422391714"/>
      <w:bookmarkStart w:id="4" w:name="_Toc422391708"/>
    </w:p>
    <w:p w:rsidR="00B532E3" w:rsidRDefault="00B532E3">
      <w:pPr>
        <w:pStyle w:val="TOC1"/>
      </w:pPr>
    </w:p>
    <w:p w:rsidR="00B532E3" w:rsidRDefault="00B532E3">
      <w:pPr>
        <w:pStyle w:val="TOC1"/>
      </w:pPr>
    </w:p>
    <w:p w:rsidR="00B532E3" w:rsidRDefault="00B532E3" w:rsidP="00DD7549">
      <w:pPr>
        <w:pStyle w:val="TOC1"/>
        <w:rPr>
          <w:sz w:val="52"/>
          <w:szCs w:val="52"/>
        </w:rPr>
      </w:pPr>
      <w:r>
        <w:rPr>
          <w:rFonts w:hint="eastAsia"/>
          <w:sz w:val="52"/>
          <w:szCs w:val="52"/>
        </w:rPr>
        <w:t>教育部直属高校经济活动内部控制指南（试行）</w:t>
      </w:r>
    </w:p>
    <w:p w:rsidR="00B532E3" w:rsidRDefault="00B532E3"/>
    <w:p w:rsidR="00B532E3" w:rsidRDefault="00B532E3">
      <w:pPr>
        <w:jc w:val="center"/>
        <w:rPr>
          <w:rFonts w:ascii="楷体" w:eastAsia="楷体" w:hAnsi="楷体"/>
          <w:sz w:val="32"/>
          <w:szCs w:val="32"/>
        </w:rPr>
      </w:pPr>
    </w:p>
    <w:p w:rsidR="00B532E3" w:rsidRDefault="00B532E3">
      <w:pPr>
        <w:widowControl/>
        <w:contextualSpacing/>
        <w:jc w:val="center"/>
        <w:outlineLvl w:val="0"/>
        <w:rPr>
          <w:rFonts w:ascii="华文中宋" w:eastAsia="华文中宋" w:hAnsi="华文中宋" w:cs="宋体"/>
          <w:kern w:val="0"/>
          <w:sz w:val="36"/>
          <w:szCs w:val="36"/>
        </w:rPr>
      </w:pPr>
    </w:p>
    <w:p w:rsidR="00B532E3" w:rsidRDefault="00B532E3">
      <w:pPr>
        <w:widowControl/>
        <w:contextualSpacing/>
        <w:jc w:val="center"/>
        <w:outlineLvl w:val="0"/>
        <w:rPr>
          <w:rFonts w:ascii="华文中宋" w:eastAsia="华文中宋" w:hAnsi="华文中宋" w:cs="宋体"/>
          <w:kern w:val="0"/>
          <w:sz w:val="36"/>
          <w:szCs w:val="36"/>
        </w:rPr>
      </w:pPr>
    </w:p>
    <w:p w:rsidR="00B532E3" w:rsidRDefault="00B532E3">
      <w:pPr>
        <w:widowControl/>
        <w:contextualSpacing/>
        <w:jc w:val="center"/>
        <w:outlineLvl w:val="0"/>
        <w:rPr>
          <w:rFonts w:ascii="华文中宋" w:eastAsia="华文中宋" w:hAnsi="华文中宋" w:cs="宋体"/>
          <w:kern w:val="0"/>
          <w:sz w:val="36"/>
          <w:szCs w:val="36"/>
        </w:rPr>
      </w:pPr>
    </w:p>
    <w:p w:rsidR="00B532E3" w:rsidRDefault="00B532E3">
      <w:pPr>
        <w:widowControl/>
        <w:contextualSpacing/>
        <w:jc w:val="center"/>
        <w:outlineLvl w:val="0"/>
        <w:rPr>
          <w:rFonts w:ascii="华文中宋" w:eastAsia="华文中宋" w:hAnsi="华文中宋" w:cs="宋体"/>
          <w:kern w:val="0"/>
          <w:sz w:val="36"/>
          <w:szCs w:val="36"/>
        </w:rPr>
      </w:pPr>
    </w:p>
    <w:p w:rsidR="00B532E3" w:rsidRDefault="00B532E3">
      <w:pPr>
        <w:widowControl/>
        <w:contextualSpacing/>
        <w:jc w:val="center"/>
        <w:outlineLvl w:val="0"/>
        <w:rPr>
          <w:rFonts w:ascii="华文中宋" w:eastAsia="华文中宋" w:hAnsi="华文中宋" w:cs="宋体"/>
          <w:kern w:val="0"/>
          <w:sz w:val="36"/>
          <w:szCs w:val="36"/>
        </w:rPr>
      </w:pPr>
    </w:p>
    <w:p w:rsidR="00B532E3" w:rsidRDefault="00B532E3">
      <w:pPr>
        <w:widowControl/>
        <w:contextualSpacing/>
        <w:jc w:val="center"/>
        <w:outlineLvl w:val="0"/>
        <w:rPr>
          <w:rFonts w:ascii="华文中宋" w:eastAsia="华文中宋" w:hAnsi="华文中宋" w:cs="宋体"/>
          <w:kern w:val="0"/>
          <w:sz w:val="36"/>
          <w:szCs w:val="36"/>
        </w:rPr>
      </w:pPr>
    </w:p>
    <w:p w:rsidR="00B532E3" w:rsidRDefault="00B532E3">
      <w:pPr>
        <w:widowControl/>
        <w:contextualSpacing/>
        <w:jc w:val="center"/>
        <w:outlineLvl w:val="0"/>
        <w:rPr>
          <w:rFonts w:ascii="华文中宋" w:eastAsia="华文中宋" w:hAnsi="华文中宋" w:cs="宋体"/>
          <w:kern w:val="0"/>
          <w:sz w:val="36"/>
          <w:szCs w:val="36"/>
        </w:rPr>
      </w:pPr>
    </w:p>
    <w:p w:rsidR="00B532E3" w:rsidRDefault="00B532E3">
      <w:pPr>
        <w:widowControl/>
        <w:contextualSpacing/>
        <w:jc w:val="center"/>
        <w:outlineLvl w:val="0"/>
        <w:rPr>
          <w:rFonts w:ascii="华文中宋" w:eastAsia="华文中宋" w:hAnsi="华文中宋" w:cs="宋体"/>
          <w:kern w:val="0"/>
          <w:sz w:val="36"/>
          <w:szCs w:val="36"/>
        </w:rPr>
      </w:pPr>
    </w:p>
    <w:p w:rsidR="00B532E3" w:rsidRDefault="00B532E3">
      <w:pPr>
        <w:widowControl/>
        <w:contextualSpacing/>
        <w:jc w:val="center"/>
        <w:outlineLvl w:val="0"/>
        <w:rPr>
          <w:rFonts w:ascii="华文中宋" w:eastAsia="华文中宋" w:hAnsi="华文中宋" w:cs="宋体"/>
          <w:kern w:val="0"/>
          <w:sz w:val="36"/>
          <w:szCs w:val="36"/>
        </w:rPr>
      </w:pPr>
    </w:p>
    <w:p w:rsidR="00B532E3" w:rsidRDefault="00B532E3">
      <w:pPr>
        <w:widowControl/>
        <w:contextualSpacing/>
        <w:jc w:val="center"/>
        <w:outlineLvl w:val="0"/>
        <w:rPr>
          <w:rFonts w:ascii="华文中宋" w:eastAsia="华文中宋" w:hAnsi="华文中宋" w:cs="宋体"/>
          <w:kern w:val="0"/>
          <w:sz w:val="36"/>
          <w:szCs w:val="36"/>
        </w:rPr>
      </w:pPr>
    </w:p>
    <w:p w:rsidR="00B532E3" w:rsidRDefault="00B532E3">
      <w:pPr>
        <w:widowControl/>
        <w:contextualSpacing/>
        <w:jc w:val="center"/>
        <w:outlineLvl w:val="0"/>
        <w:rPr>
          <w:rFonts w:ascii="华文中宋" w:eastAsia="华文中宋" w:hAnsi="华文中宋" w:cs="宋体"/>
          <w:kern w:val="0"/>
          <w:sz w:val="36"/>
          <w:szCs w:val="36"/>
        </w:rPr>
      </w:pPr>
    </w:p>
    <w:p w:rsidR="00B532E3" w:rsidRPr="00984DDA" w:rsidRDefault="00B532E3">
      <w:pPr>
        <w:widowControl/>
        <w:contextualSpacing/>
        <w:jc w:val="center"/>
        <w:outlineLvl w:val="0"/>
        <w:rPr>
          <w:rFonts w:ascii="华文中宋" w:eastAsia="华文中宋" w:hAnsi="华文中宋" w:cs="宋体"/>
          <w:kern w:val="0"/>
          <w:sz w:val="36"/>
          <w:szCs w:val="36"/>
        </w:rPr>
      </w:pPr>
    </w:p>
    <w:p w:rsidR="00B532E3" w:rsidRPr="0064041A" w:rsidRDefault="00B532E3">
      <w:pPr>
        <w:jc w:val="center"/>
        <w:rPr>
          <w:rFonts w:ascii="华文中宋" w:eastAsia="华文中宋" w:hAnsi="华文中宋"/>
          <w:kern w:val="0"/>
          <w:sz w:val="52"/>
          <w:szCs w:val="52"/>
        </w:rPr>
      </w:pPr>
      <w:r>
        <w:rPr>
          <w:rFonts w:ascii="华文中宋" w:eastAsia="华文中宋" w:hAnsi="华文中宋" w:hint="eastAsia"/>
          <w:kern w:val="0"/>
          <w:sz w:val="52"/>
          <w:szCs w:val="52"/>
        </w:rPr>
        <w:t>教育部办公厅</w:t>
      </w:r>
    </w:p>
    <w:p w:rsidR="00B532E3" w:rsidRPr="0064041A" w:rsidRDefault="00B532E3">
      <w:pPr>
        <w:jc w:val="center"/>
        <w:rPr>
          <w:rFonts w:ascii="华文中宋" w:eastAsia="华文中宋" w:hAnsi="华文中宋"/>
          <w:kern w:val="0"/>
          <w:sz w:val="52"/>
          <w:szCs w:val="52"/>
        </w:rPr>
      </w:pPr>
      <w:r w:rsidRPr="0064041A">
        <w:rPr>
          <w:rFonts w:ascii="华文中宋" w:eastAsia="华文中宋" w:hAnsi="华文中宋"/>
          <w:kern w:val="0"/>
          <w:sz w:val="52"/>
          <w:szCs w:val="52"/>
        </w:rPr>
        <w:t>2016</w:t>
      </w:r>
      <w:r w:rsidRPr="0064041A">
        <w:rPr>
          <w:rFonts w:ascii="华文中宋" w:eastAsia="华文中宋" w:hAnsi="华文中宋" w:hint="eastAsia"/>
          <w:kern w:val="0"/>
          <w:sz w:val="52"/>
          <w:szCs w:val="52"/>
        </w:rPr>
        <w:t>年４月</w:t>
      </w:r>
    </w:p>
    <w:p w:rsidR="00B532E3" w:rsidRDefault="00B532E3" w:rsidP="00984DDA">
      <w:pPr>
        <w:pStyle w:val="TOC10"/>
        <w:snapToGrid w:val="0"/>
        <w:spacing w:beforeLines="200" w:afterLines="50"/>
        <w:jc w:val="center"/>
        <w:rPr>
          <w:rFonts w:ascii="Calibri" w:hAnsi="Calibri"/>
          <w:color w:val="auto"/>
          <w:kern w:val="2"/>
          <w:sz w:val="21"/>
          <w:szCs w:val="22"/>
          <w:lang w:val="zh-CN"/>
        </w:rPr>
        <w:sectPr w:rsidR="00B532E3">
          <w:headerReference w:type="default" r:id="rId7"/>
          <w:pgSz w:w="11906" w:h="16838"/>
          <w:pgMar w:top="1440" w:right="1800" w:bottom="1440" w:left="1800" w:header="851" w:footer="992" w:gutter="0"/>
          <w:cols w:space="425"/>
          <w:docGrid w:type="lines" w:linePitch="312"/>
        </w:sectPr>
      </w:pPr>
    </w:p>
    <w:p w:rsidR="00B532E3" w:rsidRDefault="00B532E3" w:rsidP="00984DDA">
      <w:pPr>
        <w:pStyle w:val="TOC10"/>
        <w:snapToGrid w:val="0"/>
        <w:spacing w:beforeLines="200" w:afterLines="50"/>
        <w:jc w:val="center"/>
        <w:rPr>
          <w:rFonts w:ascii="Calibri" w:hAnsi="Calibri"/>
          <w:color w:val="auto"/>
          <w:kern w:val="2"/>
          <w:sz w:val="21"/>
          <w:szCs w:val="22"/>
          <w:lang w:val="zh-CN"/>
        </w:rPr>
      </w:pPr>
    </w:p>
    <w:p w:rsidR="00B532E3" w:rsidRDefault="00B532E3" w:rsidP="00984DDA">
      <w:pPr>
        <w:pStyle w:val="TOC10"/>
        <w:snapToGrid w:val="0"/>
        <w:spacing w:beforeLines="50" w:afterLines="50"/>
        <w:jc w:val="center"/>
        <w:rPr>
          <w:rFonts w:ascii="黑体" w:eastAsia="黑体" w:hAnsi="黑体"/>
          <w:color w:val="auto"/>
          <w:sz w:val="36"/>
          <w:lang w:val="zh-CN"/>
        </w:rPr>
      </w:pPr>
      <w:r>
        <w:rPr>
          <w:rFonts w:ascii="黑体" w:eastAsia="黑体" w:hAnsi="黑体" w:hint="eastAsia"/>
          <w:color w:val="auto"/>
          <w:sz w:val="36"/>
          <w:lang w:val="zh-CN"/>
        </w:rPr>
        <w:t>目</w:t>
      </w:r>
      <w:r>
        <w:rPr>
          <w:rFonts w:ascii="黑体" w:eastAsia="黑体" w:hAnsi="黑体"/>
          <w:color w:val="auto"/>
          <w:sz w:val="36"/>
          <w:lang w:val="zh-CN"/>
        </w:rPr>
        <w:t xml:space="preserve">  </w:t>
      </w:r>
      <w:r>
        <w:rPr>
          <w:rFonts w:ascii="黑体" w:eastAsia="黑体" w:hAnsi="黑体" w:hint="eastAsia"/>
          <w:color w:val="auto"/>
          <w:sz w:val="36"/>
          <w:lang w:val="zh-CN"/>
        </w:rPr>
        <w:t>录</w:t>
      </w:r>
    </w:p>
    <w:p w:rsidR="00B532E3" w:rsidRDefault="00B532E3">
      <w:pPr>
        <w:rPr>
          <w:lang w:val="zh-CN"/>
        </w:rPr>
      </w:pP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fldChar w:fldCharType="begin"/>
      </w:r>
      <w:r>
        <w:rPr>
          <w:rFonts w:ascii="Times New Roman" w:eastAsia="仿宋_GB2312" w:hAnsi="Times New Roman"/>
          <w:sz w:val="32"/>
          <w:szCs w:val="32"/>
        </w:rPr>
        <w:instrText xml:space="preserve"> TOC \o "1-3" \h \z \u </w:instrText>
      </w:r>
      <w:r>
        <w:rPr>
          <w:rFonts w:ascii="Times New Roman" w:eastAsia="仿宋_GB2312" w:hAnsi="Times New Roman"/>
          <w:sz w:val="32"/>
          <w:szCs w:val="32"/>
        </w:rPr>
        <w:fldChar w:fldCharType="separate"/>
      </w:r>
      <w:hyperlink w:anchor="_Toc423337772" w:history="1">
        <w:r>
          <w:rPr>
            <w:rStyle w:val="Hyperlink"/>
            <w:rFonts w:ascii="Times New Roman" w:eastAsia="仿宋_GB2312" w:hAnsi="Times New Roman" w:hint="eastAsia"/>
            <w:sz w:val="32"/>
            <w:szCs w:val="32"/>
          </w:rPr>
          <w:t>内部控制实施指南</w:t>
        </w:r>
        <w:r>
          <w:rPr>
            <w:rFonts w:ascii="Times New Roman" w:eastAsia="仿宋_GB2312" w:hAnsi="Times New Roman"/>
            <w:sz w:val="32"/>
            <w:szCs w:val="32"/>
          </w:rPr>
          <w:tab/>
          <w:t>1</w:t>
        </w:r>
      </w:hyperlink>
    </w:p>
    <w:p w:rsidR="00B532E3" w:rsidRDefault="00B532E3">
      <w:pPr>
        <w:pStyle w:val="TOC1"/>
        <w:rPr>
          <w:rFonts w:ascii="Times New Roman" w:eastAsia="仿宋_GB2312" w:hAnsi="Times New Roman"/>
          <w:sz w:val="32"/>
          <w:szCs w:val="32"/>
        </w:rPr>
      </w:pPr>
      <w:hyperlink w:anchor="_Toc423337773" w:history="1">
        <w:r>
          <w:rPr>
            <w:rStyle w:val="Hyperlink"/>
            <w:rFonts w:ascii="Times New Roman" w:eastAsia="仿宋_GB2312" w:hAnsi="Times New Roman" w:hint="eastAsia"/>
            <w:sz w:val="32"/>
            <w:szCs w:val="32"/>
          </w:rPr>
          <w:t>内部控制应用指南</w:t>
        </w:r>
        <w:r>
          <w:rPr>
            <w:rFonts w:ascii="Times New Roman" w:eastAsia="仿宋_GB2312" w:hAnsi="Times New Roman"/>
            <w:sz w:val="32"/>
            <w:szCs w:val="32"/>
          </w:rPr>
          <w:tab/>
          <w:t>6</w:t>
        </w:r>
      </w:hyperlink>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774"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1</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控制环境</w:t>
        </w:r>
        <w:r>
          <w:rPr>
            <w:rFonts w:ascii="Times New Roman" w:eastAsia="仿宋_GB2312" w:hAnsi="Times New Roman"/>
            <w:sz w:val="32"/>
            <w:szCs w:val="32"/>
          </w:rPr>
          <w:tab/>
          <w:t>6</w:t>
        </w:r>
      </w:hyperlink>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782"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2</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预决算管理</w:t>
        </w:r>
        <w:r>
          <w:rPr>
            <w:rFonts w:ascii="Times New Roman" w:eastAsia="仿宋_GB2312" w:hAnsi="Times New Roman"/>
            <w:sz w:val="32"/>
            <w:szCs w:val="32"/>
          </w:rPr>
          <w:tab/>
          <w:t>1</w:t>
        </w:r>
      </w:hyperlink>
      <w:r>
        <w:rPr>
          <w:rFonts w:ascii="Times New Roman" w:eastAsia="仿宋_GB2312" w:hAnsi="Times New Roman"/>
          <w:sz w:val="32"/>
          <w:szCs w:val="32"/>
        </w:rPr>
        <w:t>4</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790"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3</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资产管理</w:t>
        </w:r>
        <w:r>
          <w:rPr>
            <w:rFonts w:ascii="Times New Roman" w:eastAsia="仿宋_GB2312" w:hAnsi="Times New Roman"/>
            <w:sz w:val="32"/>
            <w:szCs w:val="32"/>
          </w:rPr>
          <w:tab/>
          <w:t>2</w:t>
        </w:r>
      </w:hyperlink>
      <w:r>
        <w:rPr>
          <w:rFonts w:ascii="Times New Roman" w:eastAsia="仿宋_GB2312" w:hAnsi="Times New Roman"/>
          <w:sz w:val="32"/>
          <w:szCs w:val="32"/>
        </w:rPr>
        <w:t>0</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798"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4</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债务管理</w:t>
        </w:r>
        <w:r>
          <w:rPr>
            <w:rFonts w:ascii="Times New Roman" w:eastAsia="仿宋_GB2312" w:hAnsi="Times New Roman"/>
            <w:sz w:val="32"/>
            <w:szCs w:val="32"/>
          </w:rPr>
          <w:tab/>
          <w:t>2</w:t>
        </w:r>
      </w:hyperlink>
      <w:r>
        <w:rPr>
          <w:rFonts w:ascii="Times New Roman" w:eastAsia="仿宋_GB2312" w:hAnsi="Times New Roman"/>
          <w:sz w:val="32"/>
          <w:szCs w:val="32"/>
        </w:rPr>
        <w:t>9</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804"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5</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收入管理</w:t>
        </w:r>
        <w:r>
          <w:rPr>
            <w:rFonts w:ascii="Times New Roman" w:eastAsia="仿宋_GB2312" w:hAnsi="Times New Roman"/>
            <w:sz w:val="32"/>
            <w:szCs w:val="32"/>
          </w:rPr>
          <w:tab/>
          <w:t>3</w:t>
        </w:r>
      </w:hyperlink>
      <w:r>
        <w:rPr>
          <w:rFonts w:ascii="Times New Roman" w:eastAsia="仿宋_GB2312" w:hAnsi="Times New Roman"/>
          <w:sz w:val="32"/>
          <w:szCs w:val="32"/>
        </w:rPr>
        <w:t>3</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810"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6</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支出管理</w:t>
        </w:r>
        <w:r>
          <w:rPr>
            <w:rFonts w:ascii="Times New Roman" w:eastAsia="仿宋_GB2312" w:hAnsi="Times New Roman"/>
            <w:sz w:val="32"/>
            <w:szCs w:val="32"/>
          </w:rPr>
          <w:tab/>
          <w:t>3</w:t>
        </w:r>
      </w:hyperlink>
      <w:r>
        <w:rPr>
          <w:rFonts w:ascii="Times New Roman" w:eastAsia="仿宋_GB2312" w:hAnsi="Times New Roman"/>
          <w:sz w:val="32"/>
          <w:szCs w:val="32"/>
        </w:rPr>
        <w:t>7</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817"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7</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合同管理</w:t>
        </w:r>
        <w:r>
          <w:rPr>
            <w:rFonts w:ascii="Times New Roman" w:eastAsia="仿宋_GB2312" w:hAnsi="Times New Roman"/>
            <w:sz w:val="32"/>
            <w:szCs w:val="32"/>
          </w:rPr>
          <w:tab/>
          <w:t>4</w:t>
        </w:r>
      </w:hyperlink>
      <w:r>
        <w:rPr>
          <w:rFonts w:ascii="Times New Roman" w:eastAsia="仿宋_GB2312" w:hAnsi="Times New Roman"/>
          <w:sz w:val="32"/>
          <w:szCs w:val="32"/>
        </w:rPr>
        <w:t>1</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823"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8</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采购管理</w:t>
        </w:r>
        <w:r>
          <w:rPr>
            <w:rFonts w:ascii="Times New Roman" w:eastAsia="仿宋_GB2312" w:hAnsi="Times New Roman"/>
            <w:sz w:val="32"/>
            <w:szCs w:val="32"/>
          </w:rPr>
          <w:tab/>
          <w:t>4</w:t>
        </w:r>
      </w:hyperlink>
      <w:r>
        <w:rPr>
          <w:rFonts w:ascii="Times New Roman" w:eastAsia="仿宋_GB2312" w:hAnsi="Times New Roman"/>
          <w:sz w:val="32"/>
          <w:szCs w:val="32"/>
        </w:rPr>
        <w:t>6</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831"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9</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工程项目管理</w:t>
        </w:r>
        <w:r>
          <w:rPr>
            <w:rFonts w:ascii="Times New Roman" w:eastAsia="仿宋_GB2312" w:hAnsi="Times New Roman"/>
            <w:sz w:val="32"/>
            <w:szCs w:val="32"/>
          </w:rPr>
          <w:tab/>
          <w:t>5</w:t>
        </w:r>
      </w:hyperlink>
      <w:r>
        <w:rPr>
          <w:rFonts w:ascii="Times New Roman" w:eastAsia="仿宋_GB2312" w:hAnsi="Times New Roman"/>
          <w:sz w:val="32"/>
          <w:szCs w:val="32"/>
        </w:rPr>
        <w:t>1</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840"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10</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科研项目管理</w:t>
        </w:r>
        <w:r>
          <w:rPr>
            <w:rFonts w:ascii="Times New Roman" w:eastAsia="仿宋_GB2312" w:hAnsi="Times New Roman"/>
            <w:sz w:val="32"/>
            <w:szCs w:val="32"/>
          </w:rPr>
          <w:tab/>
          <w:t>5</w:t>
        </w:r>
      </w:hyperlink>
      <w:r>
        <w:rPr>
          <w:rFonts w:ascii="Times New Roman" w:eastAsia="仿宋_GB2312" w:hAnsi="Times New Roman"/>
          <w:sz w:val="32"/>
          <w:szCs w:val="32"/>
        </w:rPr>
        <w:t>7</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848"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11</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财政专项项目管理</w:t>
        </w:r>
        <w:r>
          <w:rPr>
            <w:rFonts w:ascii="Times New Roman" w:eastAsia="仿宋_GB2312" w:hAnsi="Times New Roman"/>
            <w:sz w:val="32"/>
            <w:szCs w:val="32"/>
          </w:rPr>
          <w:tab/>
          <w:t>6</w:t>
        </w:r>
      </w:hyperlink>
      <w:r>
        <w:rPr>
          <w:rFonts w:ascii="Times New Roman" w:eastAsia="仿宋_GB2312" w:hAnsi="Times New Roman"/>
          <w:sz w:val="32"/>
          <w:szCs w:val="32"/>
        </w:rPr>
        <w:t>2</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855"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12</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经济活动信息化管理</w:t>
        </w:r>
        <w:r>
          <w:rPr>
            <w:rFonts w:ascii="Times New Roman" w:eastAsia="仿宋_GB2312" w:hAnsi="Times New Roman"/>
            <w:sz w:val="32"/>
            <w:szCs w:val="32"/>
          </w:rPr>
          <w:tab/>
          <w:t>6</w:t>
        </w:r>
      </w:hyperlink>
      <w:r>
        <w:rPr>
          <w:rFonts w:ascii="Times New Roman" w:eastAsia="仿宋_GB2312" w:hAnsi="Times New Roman"/>
          <w:sz w:val="32"/>
          <w:szCs w:val="32"/>
        </w:rPr>
        <w:t>6</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862"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13</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所属企业管理</w:t>
        </w:r>
        <w:r>
          <w:rPr>
            <w:rFonts w:ascii="Times New Roman" w:eastAsia="仿宋_GB2312" w:hAnsi="Times New Roman"/>
            <w:sz w:val="32"/>
            <w:szCs w:val="32"/>
          </w:rPr>
          <w:tab/>
          <w:t>7</w:t>
        </w:r>
      </w:hyperlink>
      <w:r>
        <w:rPr>
          <w:rFonts w:ascii="Times New Roman" w:eastAsia="仿宋_GB2312" w:hAnsi="Times New Roman"/>
          <w:sz w:val="32"/>
          <w:szCs w:val="32"/>
        </w:rPr>
        <w:t>2</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867"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14</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教育基金会管理</w:t>
        </w:r>
        <w:r>
          <w:rPr>
            <w:rFonts w:ascii="Times New Roman" w:eastAsia="仿宋_GB2312" w:hAnsi="Times New Roman"/>
            <w:sz w:val="32"/>
            <w:szCs w:val="32"/>
          </w:rPr>
          <w:tab/>
          <w:t>7</w:t>
        </w:r>
      </w:hyperlink>
      <w:r>
        <w:rPr>
          <w:rFonts w:ascii="Times New Roman" w:eastAsia="仿宋_GB2312" w:hAnsi="Times New Roman"/>
          <w:sz w:val="32"/>
          <w:szCs w:val="32"/>
        </w:rPr>
        <w:t>5</w:t>
      </w:r>
    </w:p>
    <w:p w:rsidR="00B532E3" w:rsidRDefault="00B532E3">
      <w:pPr>
        <w:pStyle w:val="TOC1"/>
        <w:rPr>
          <w:rFonts w:ascii="Times New Roman" w:eastAsia="仿宋_GB2312" w:hAnsi="Times New Roman"/>
          <w:sz w:val="32"/>
          <w:szCs w:val="32"/>
        </w:rPr>
      </w:pPr>
      <w:r>
        <w:rPr>
          <w:rFonts w:ascii="Times New Roman" w:eastAsia="仿宋_GB2312" w:hAnsi="Times New Roman"/>
          <w:sz w:val="32"/>
          <w:szCs w:val="32"/>
        </w:rPr>
        <w:t xml:space="preserve">    </w:t>
      </w:r>
      <w:hyperlink w:anchor="_Toc423337873" w:history="1">
        <w:r>
          <w:rPr>
            <w:rStyle w:val="Hyperlink"/>
            <w:rFonts w:ascii="Times New Roman" w:eastAsia="仿宋_GB2312" w:hAnsi="Times New Roman" w:hint="eastAsia"/>
            <w:sz w:val="32"/>
            <w:szCs w:val="32"/>
            <w:u w:val="none"/>
          </w:rPr>
          <w:t>第</w:t>
        </w:r>
        <w:r>
          <w:rPr>
            <w:rStyle w:val="Hyperlink"/>
            <w:rFonts w:ascii="Times New Roman" w:eastAsia="仿宋_GB2312" w:hAnsi="Times New Roman"/>
            <w:sz w:val="32"/>
            <w:szCs w:val="32"/>
            <w:u w:val="none"/>
          </w:rPr>
          <w:t>15</w:t>
        </w:r>
        <w:r>
          <w:rPr>
            <w:rStyle w:val="Hyperlink"/>
            <w:rFonts w:ascii="Times New Roman" w:eastAsia="仿宋_GB2312" w:hAnsi="Times New Roman" w:hint="eastAsia"/>
            <w:sz w:val="32"/>
            <w:szCs w:val="32"/>
            <w:u w:val="none"/>
          </w:rPr>
          <w:t>号</w:t>
        </w:r>
        <w:r>
          <w:rPr>
            <w:rStyle w:val="Hyperlink"/>
            <w:rFonts w:ascii="Times New Roman" w:eastAsia="仿宋_GB2312" w:hAnsi="Times New Roman"/>
            <w:sz w:val="32"/>
            <w:szCs w:val="32"/>
            <w:u w:val="none"/>
          </w:rPr>
          <w:t>—</w:t>
        </w:r>
        <w:r>
          <w:rPr>
            <w:rStyle w:val="Hyperlink"/>
            <w:rFonts w:ascii="Times New Roman" w:eastAsia="仿宋_GB2312" w:hAnsi="Times New Roman" w:hint="eastAsia"/>
            <w:sz w:val="32"/>
            <w:szCs w:val="32"/>
            <w:u w:val="none"/>
          </w:rPr>
          <w:t>其他附属单位管理</w:t>
        </w:r>
        <w:r>
          <w:rPr>
            <w:rFonts w:ascii="Times New Roman" w:eastAsia="仿宋_GB2312" w:hAnsi="Times New Roman"/>
            <w:sz w:val="32"/>
            <w:szCs w:val="32"/>
          </w:rPr>
          <w:tab/>
          <w:t>7</w:t>
        </w:r>
      </w:hyperlink>
      <w:r>
        <w:rPr>
          <w:rFonts w:ascii="Times New Roman" w:eastAsia="仿宋_GB2312" w:hAnsi="Times New Roman"/>
          <w:sz w:val="32"/>
          <w:szCs w:val="32"/>
        </w:rPr>
        <w:t>8</w:t>
      </w:r>
    </w:p>
    <w:p w:rsidR="00B532E3" w:rsidRDefault="00B532E3">
      <w:pPr>
        <w:pStyle w:val="TOC1"/>
        <w:rPr>
          <w:rFonts w:ascii="Times New Roman" w:eastAsia="仿宋_GB2312" w:hAnsi="Times New Roman"/>
          <w:sz w:val="32"/>
          <w:szCs w:val="32"/>
        </w:rPr>
      </w:pPr>
      <w:hyperlink w:anchor="_Toc423337879" w:history="1">
        <w:r>
          <w:rPr>
            <w:rStyle w:val="Hyperlink"/>
            <w:rFonts w:ascii="Times New Roman" w:eastAsia="仿宋_GB2312" w:hAnsi="Times New Roman" w:hint="eastAsia"/>
            <w:sz w:val="32"/>
            <w:szCs w:val="32"/>
          </w:rPr>
          <w:t>内部控制评价指南</w:t>
        </w:r>
        <w:r>
          <w:rPr>
            <w:rFonts w:ascii="Times New Roman" w:eastAsia="仿宋_GB2312" w:hAnsi="Times New Roman"/>
            <w:sz w:val="32"/>
            <w:szCs w:val="32"/>
          </w:rPr>
          <w:tab/>
          <w:t>8</w:t>
        </w:r>
      </w:hyperlink>
      <w:r>
        <w:rPr>
          <w:rFonts w:ascii="Times New Roman" w:eastAsia="仿宋_GB2312" w:hAnsi="Times New Roman"/>
          <w:sz w:val="32"/>
          <w:szCs w:val="32"/>
        </w:rPr>
        <w:t>7</w:t>
      </w:r>
      <w:bookmarkStart w:id="5" w:name="_GoBack"/>
      <w:bookmarkEnd w:id="5"/>
    </w:p>
    <w:p w:rsidR="00B532E3" w:rsidRDefault="00B532E3">
      <w:pPr>
        <w:tabs>
          <w:tab w:val="right" w:pos="8306"/>
        </w:tabs>
        <w:rPr>
          <w:b/>
          <w:bCs/>
          <w:lang w:val="zh-CN"/>
        </w:rPr>
      </w:pPr>
      <w:r>
        <w:rPr>
          <w:rFonts w:ascii="Times New Roman" w:eastAsia="仿宋_GB2312" w:hAnsi="Times New Roman"/>
          <w:sz w:val="32"/>
          <w:szCs w:val="32"/>
        </w:rPr>
        <w:fldChar w:fldCharType="end"/>
      </w:r>
      <w:r>
        <w:rPr>
          <w:b/>
          <w:bCs/>
          <w:lang w:val="zh-CN"/>
        </w:rPr>
        <w:tab/>
      </w:r>
    </w:p>
    <w:p w:rsidR="00B532E3" w:rsidRDefault="00B532E3"/>
    <w:p w:rsidR="00B532E3" w:rsidRDefault="00B532E3">
      <w:pPr>
        <w:widowControl/>
        <w:contextualSpacing/>
        <w:jc w:val="center"/>
        <w:outlineLvl w:val="0"/>
        <w:rPr>
          <w:rFonts w:ascii="华文中宋" w:eastAsia="华文中宋" w:hAnsi="华文中宋" w:cs="宋体"/>
          <w:kern w:val="0"/>
          <w:sz w:val="36"/>
          <w:szCs w:val="36"/>
        </w:rPr>
        <w:sectPr w:rsidR="00B532E3">
          <w:footerReference w:type="default" r:id="rId8"/>
          <w:pgSz w:w="11906" w:h="16838"/>
          <w:pgMar w:top="1440" w:right="1800" w:bottom="1440" w:left="1800" w:header="851" w:footer="992" w:gutter="0"/>
          <w:cols w:space="425"/>
          <w:docGrid w:type="lines" w:linePitch="312"/>
        </w:sectPr>
      </w:pPr>
    </w:p>
    <w:p w:rsidR="00B532E3" w:rsidRDefault="00B532E3">
      <w:pPr>
        <w:widowControl/>
        <w:contextualSpacing/>
        <w:jc w:val="center"/>
        <w:outlineLvl w:val="0"/>
        <w:rPr>
          <w:rFonts w:ascii="华文中宋" w:eastAsia="华文中宋" w:hAnsi="华文中宋" w:cs="宋体"/>
          <w:kern w:val="0"/>
          <w:sz w:val="36"/>
          <w:szCs w:val="36"/>
        </w:rPr>
      </w:pPr>
    </w:p>
    <w:p w:rsidR="00B532E3" w:rsidRDefault="00B532E3">
      <w:pPr>
        <w:widowControl/>
        <w:contextualSpacing/>
        <w:jc w:val="center"/>
        <w:outlineLvl w:val="1"/>
        <w:rPr>
          <w:rFonts w:ascii="华文中宋" w:eastAsia="华文中宋" w:hAnsi="华文中宋" w:cs="宋体"/>
          <w:kern w:val="0"/>
          <w:sz w:val="36"/>
          <w:szCs w:val="36"/>
        </w:rPr>
      </w:pPr>
      <w:bookmarkStart w:id="6" w:name="_Toc423337772"/>
      <w:r>
        <w:rPr>
          <w:rFonts w:ascii="华文中宋" w:eastAsia="华文中宋" w:hAnsi="华文中宋" w:cs="宋体" w:hint="eastAsia"/>
          <w:kern w:val="0"/>
          <w:sz w:val="36"/>
          <w:szCs w:val="36"/>
        </w:rPr>
        <w:t>内部控制实施指南</w:t>
      </w:r>
    </w:p>
    <w:p w:rsidR="00B532E3" w:rsidRDefault="00B532E3">
      <w:pPr>
        <w:pStyle w:val="10"/>
        <w:ind w:firstLineChars="200" w:firstLine="640"/>
        <w:rPr>
          <w:rFonts w:ascii="仿宋_GB2312" w:eastAsia="仿宋_GB2312" w:hAnsi="仿宋"/>
          <w:sz w:val="32"/>
          <w:szCs w:val="32"/>
        </w:rPr>
      </w:pPr>
    </w:p>
    <w:p w:rsidR="00B532E3" w:rsidRDefault="00B532E3">
      <w:pPr>
        <w:pStyle w:val="10"/>
        <w:jc w:val="center"/>
        <w:outlineLvl w:val="1"/>
        <w:rPr>
          <w:rFonts w:ascii="华文中宋" w:eastAsia="华文中宋" w:hAnsi="华文中宋"/>
          <w:sz w:val="32"/>
          <w:szCs w:val="32"/>
        </w:rPr>
      </w:pPr>
      <w:r>
        <w:rPr>
          <w:rFonts w:ascii="华文中宋" w:eastAsia="华文中宋" w:hAnsi="华文中宋" w:hint="eastAsia"/>
          <w:sz w:val="32"/>
          <w:szCs w:val="32"/>
        </w:rPr>
        <w:t>第一章</w:t>
      </w:r>
      <w:r>
        <w:rPr>
          <w:rFonts w:ascii="华文中宋" w:eastAsia="华文中宋" w:hAnsi="华文中宋"/>
          <w:sz w:val="32"/>
          <w:szCs w:val="32"/>
        </w:rPr>
        <w:t xml:space="preserve">  </w:t>
      </w:r>
      <w:r>
        <w:rPr>
          <w:rFonts w:ascii="华文中宋" w:eastAsia="华文中宋" w:hAnsi="华文中宋" w:hint="eastAsia"/>
          <w:sz w:val="32"/>
          <w:szCs w:val="32"/>
        </w:rPr>
        <w:t>总则</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高校内部控制是指学校为实现办学目标，通过制定制度、实施措施和执行程序，对经济活动的风险进行防范和管控。高校内部控制的目标主要包括：保证学校经济活动合法合规、资产安全和使用有效、财务信息真实完整，有效防范舞弊和预防腐败，提高资源配置和使用效益。</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高校内部控制建设要紧紧围绕学校办学目标和事业发展规划，坚持服务于学校人才培养和科学研究。通过规范管理、有效控制、追责问效、防范风险，支持学校的可持续发展。</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高校党政领导班子及其各级领导干部要高度重视内部控制建设，要将建立健全内部控制作为高校健全治理体系和提高治理能力建设的重要组成部分，列入学校长期规划，常抓不懈。</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高校内部控制建设应当遵循下列原则：</w:t>
      </w:r>
    </w:p>
    <w:p w:rsidR="00B532E3" w:rsidRDefault="00B532E3">
      <w:pPr>
        <w:pStyle w:val="10"/>
        <w:numPr>
          <w:ilvl w:val="1"/>
          <w:numId w:val="1"/>
        </w:numPr>
        <w:ind w:left="0" w:firstLineChars="200" w:firstLine="640"/>
        <w:rPr>
          <w:rFonts w:ascii="仿宋_GB2312" w:eastAsia="仿宋_GB2312" w:hAnsi="仿宋"/>
          <w:sz w:val="32"/>
          <w:szCs w:val="32"/>
        </w:rPr>
      </w:pPr>
      <w:r>
        <w:rPr>
          <w:rFonts w:ascii="仿宋_GB2312" w:eastAsia="仿宋_GB2312" w:hAnsi="仿宋" w:hint="eastAsia"/>
          <w:sz w:val="32"/>
          <w:szCs w:val="32"/>
        </w:rPr>
        <w:t>全面性原则：内部控制应当贯穿学校经济活动的决策、执行和监督全过程，实现对经济活动的全面控制。</w:t>
      </w:r>
    </w:p>
    <w:p w:rsidR="00B532E3" w:rsidRDefault="00B532E3">
      <w:pPr>
        <w:pStyle w:val="10"/>
        <w:numPr>
          <w:ilvl w:val="1"/>
          <w:numId w:val="1"/>
        </w:numPr>
        <w:ind w:left="0" w:firstLineChars="200" w:firstLine="640"/>
        <w:rPr>
          <w:rFonts w:ascii="仿宋_GB2312" w:eastAsia="仿宋_GB2312" w:hAnsi="仿宋"/>
          <w:sz w:val="32"/>
          <w:szCs w:val="32"/>
        </w:rPr>
      </w:pPr>
      <w:r>
        <w:rPr>
          <w:rFonts w:ascii="仿宋_GB2312" w:eastAsia="仿宋_GB2312" w:hAnsi="仿宋" w:hint="eastAsia"/>
          <w:sz w:val="32"/>
          <w:szCs w:val="32"/>
        </w:rPr>
        <w:t>重要性原则：在全面控制的基础上，学校应当关注重要经济活动及其可能产生的重大风险。</w:t>
      </w:r>
    </w:p>
    <w:p w:rsidR="00B532E3" w:rsidRDefault="00B532E3">
      <w:pPr>
        <w:pStyle w:val="10"/>
        <w:numPr>
          <w:ilvl w:val="1"/>
          <w:numId w:val="1"/>
        </w:numPr>
        <w:ind w:left="0" w:firstLineChars="200" w:firstLine="640"/>
        <w:rPr>
          <w:rFonts w:ascii="仿宋_GB2312" w:eastAsia="仿宋_GB2312" w:hAnsi="仿宋"/>
          <w:sz w:val="32"/>
          <w:szCs w:val="32"/>
        </w:rPr>
      </w:pPr>
      <w:r>
        <w:rPr>
          <w:rFonts w:ascii="仿宋_GB2312" w:eastAsia="仿宋_GB2312" w:hAnsi="仿宋" w:hint="eastAsia"/>
          <w:sz w:val="32"/>
          <w:szCs w:val="32"/>
        </w:rPr>
        <w:t>制衡性原则：学校应当在岗位设置、职责分工、业务流程等方面形成相互制约和相互监督的工作机制。</w:t>
      </w:r>
    </w:p>
    <w:p w:rsidR="00B532E3" w:rsidRDefault="00B532E3">
      <w:pPr>
        <w:pStyle w:val="10"/>
        <w:numPr>
          <w:ilvl w:val="1"/>
          <w:numId w:val="1"/>
        </w:numPr>
        <w:ind w:left="0" w:firstLineChars="200" w:firstLine="640"/>
        <w:rPr>
          <w:rFonts w:ascii="仿宋_GB2312" w:eastAsia="仿宋_GB2312" w:hAnsi="仿宋"/>
          <w:sz w:val="32"/>
          <w:szCs w:val="32"/>
        </w:rPr>
      </w:pPr>
      <w:r>
        <w:rPr>
          <w:rFonts w:ascii="仿宋_GB2312" w:eastAsia="仿宋_GB2312" w:hAnsi="仿宋" w:hint="eastAsia"/>
          <w:sz w:val="32"/>
          <w:szCs w:val="32"/>
        </w:rPr>
        <w:t>适应性原则：内部控制应当符合国家有关法律法规和学校实际情况，并随着外部环境变化、经济活动特点和管理要求提高，不断修订和完善。</w:t>
      </w:r>
    </w:p>
    <w:p w:rsidR="00B532E3" w:rsidRDefault="00B532E3">
      <w:pPr>
        <w:pStyle w:val="10"/>
        <w:jc w:val="center"/>
        <w:rPr>
          <w:rFonts w:ascii="华文中宋" w:eastAsia="华文中宋" w:hAnsi="华文中宋"/>
          <w:sz w:val="32"/>
          <w:szCs w:val="32"/>
        </w:rPr>
      </w:pPr>
      <w:r>
        <w:rPr>
          <w:rFonts w:ascii="华文中宋" w:eastAsia="华文中宋" w:hAnsi="华文中宋" w:hint="eastAsia"/>
          <w:sz w:val="32"/>
          <w:szCs w:val="32"/>
        </w:rPr>
        <w:t>第二章</w:t>
      </w:r>
      <w:r>
        <w:rPr>
          <w:rFonts w:ascii="华文中宋" w:eastAsia="华文中宋" w:hAnsi="华文中宋"/>
          <w:sz w:val="32"/>
          <w:szCs w:val="32"/>
        </w:rPr>
        <w:t xml:space="preserve">  </w:t>
      </w:r>
      <w:r>
        <w:rPr>
          <w:rFonts w:ascii="华文中宋" w:eastAsia="华文中宋" w:hAnsi="华文中宋" w:hint="eastAsia"/>
          <w:sz w:val="32"/>
          <w:szCs w:val="32"/>
        </w:rPr>
        <w:t>组织架构</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高校党委要发挥在学校内部控制建设中的领导作用；校长是内部控制建设工作的首要责任人，对内部控制的建立健全和有效实施负责；学校领导班子其他成员要抓好各自分管领域的内部控制建设工作；学校内部各部门负责人对本部门的内部控制建设承担具体责任。</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高校要成立由校长担任组长的内部控制建设领导小组，负责领导内部控制建设工作。领导小组的主要职责是：规划和制定学校内部控制建设的基本思路、工作重点、建设计划等；组织全校各部门开展内部控制建设；建立健全学校内部控制建设组织体系，推动内部控制建设常态化。</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高校要成立专门负责内部控制建设的职能部门，或者明确内部控制建设的牵头部门，负责组织协调全校的内部控制建设。其主要职责是：组织梳理学校各类经济活动的业务流程，明确业务环节，系统分析经济活动风险，确定风险点，选择风险应对策略，在此基础上根据国家有关规定建立健全学校各项内部管理制度并督促相关人员认真执行。</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hint="eastAsia"/>
          <w:sz w:val="32"/>
          <w:szCs w:val="32"/>
        </w:rPr>
        <w:t>高校要成立由内部审计部门或相关部门牵头组成的内部控制建设监督检查工作小组，负责对全校内部控制建立与实施情况开展内部监督检查，并定期组织编制学校风险评估报告，对学校内部控制的完善性、有效性等做出评价。</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hint="eastAsia"/>
          <w:sz w:val="32"/>
          <w:szCs w:val="32"/>
        </w:rPr>
        <w:t>高校应当明确财务、纪检监察、人事、采购、基建、资产、科研管理和审计等部门或岗位在内部控制建设、实施与监督检查中的职责权限，以及内部控制建设、实施与监督的程序和要求，并充分发挥各职能部门在内部控制建设、实施与监督检查中的作用。</w:t>
      </w:r>
    </w:p>
    <w:p w:rsidR="00B532E3" w:rsidRDefault="00B532E3">
      <w:pPr>
        <w:pStyle w:val="10"/>
        <w:jc w:val="center"/>
        <w:rPr>
          <w:rFonts w:ascii="华文中宋" w:eastAsia="华文中宋" w:hAnsi="华文中宋"/>
          <w:sz w:val="32"/>
          <w:szCs w:val="32"/>
        </w:rPr>
      </w:pPr>
      <w:r>
        <w:rPr>
          <w:rFonts w:ascii="华文中宋" w:eastAsia="华文中宋" w:hAnsi="华文中宋" w:hint="eastAsia"/>
          <w:sz w:val="32"/>
          <w:szCs w:val="32"/>
        </w:rPr>
        <w:t>第三章</w:t>
      </w:r>
      <w:r>
        <w:rPr>
          <w:rFonts w:ascii="华文中宋" w:eastAsia="华文中宋" w:hAnsi="华文中宋"/>
          <w:sz w:val="32"/>
          <w:szCs w:val="32"/>
        </w:rPr>
        <w:t xml:space="preserve">  </w:t>
      </w:r>
      <w:r>
        <w:rPr>
          <w:rFonts w:ascii="华文中宋" w:eastAsia="华文中宋" w:hAnsi="华文中宋" w:hint="eastAsia"/>
          <w:sz w:val="32"/>
          <w:szCs w:val="32"/>
        </w:rPr>
        <w:t>建设任务</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hint="eastAsia"/>
          <w:sz w:val="32"/>
          <w:szCs w:val="32"/>
        </w:rPr>
        <w:t>高校应当按照内部控制的要求，在</w:t>
      </w:r>
      <w:r w:rsidRPr="006147F7">
        <w:rPr>
          <w:rFonts w:ascii="仿宋_GB2312" w:eastAsia="仿宋_GB2312" w:hAnsi="仿宋" w:hint="eastAsia"/>
          <w:sz w:val="32"/>
          <w:szCs w:val="32"/>
        </w:rPr>
        <w:t>内部控制建设领导小组</w:t>
      </w:r>
      <w:r>
        <w:rPr>
          <w:rFonts w:ascii="仿宋_GB2312" w:eastAsia="仿宋_GB2312" w:hAnsi="仿宋" w:hint="eastAsia"/>
          <w:sz w:val="32"/>
          <w:szCs w:val="32"/>
        </w:rPr>
        <w:t>的领导下通过全面梳理预决算、收支、采购、资产、建设项目、合同等各项经济业务流程，明确业务环节，分析风险隐患，完善风险评估机制，制定风险应对策略；有效运用不相容岗位相互分离、内部授权审批控制、归口管理、预算控制、财产保护控制、会计控制、单据控制、信息内部公开等内部控制基本方法，加强对学校层面和业务层面的内部控制，实现内部控制体系全面、有效实施。</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hint="eastAsia"/>
          <w:sz w:val="32"/>
          <w:szCs w:val="32"/>
        </w:rPr>
        <w:t>高校要按照决策、执行和监督相互分离、相互制约的要求，建立重大事项议事决策机制。要根据确保不相容岗位相互分离、相互制约和相互监督的原则，科学设置机构及岗位，明确各岗位职责权限和权利运行规程，切实做到分事行权、分岗设权、分级授权、定期轮岗。对重点领域的关键岗位，在健全岗位设置、设定任岗条件的基础上，选用适合人员，并建立干部交流和定期轮岗制度，不具备轮岗条件的应当采用专项审计等内控措施。</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hint="eastAsia"/>
          <w:sz w:val="32"/>
          <w:szCs w:val="32"/>
        </w:rPr>
        <w:t>高校应当建立健全内部控制的监督检查和自我评价制度，通过日常监督和专项检查，检查内部控制实施过程中存在的突出问题、管理漏洞和薄弱环节，进一步改进和加强内部控制；通过自我评价，评估内部控制的全面性、重要性、制衡性、适应性和有效性，进一步改进和完善内部控制。同时，高校要将内部控制监督检查、自我评价结果纳入领导干部经济责任审计内容与干部考核体系、将评价结果与个人考核挂钩，实行追责问责，促进内部控制规范有效执行。</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hint="eastAsia"/>
          <w:sz w:val="32"/>
          <w:szCs w:val="32"/>
        </w:rPr>
        <w:t>高校应当积极推进内部控制信息公开，逐步建立健全内部控制自我评价报告公开制度，通过面向学校内部和外部定期公开内部控制相关信息，逐步建立规范有序、及时可靠的内部控制信息公开机制，更好地发挥信息公开对内部控制建设的促进和监督作用。</w:t>
      </w:r>
    </w:p>
    <w:p w:rsidR="00B532E3" w:rsidRDefault="00B532E3">
      <w:pPr>
        <w:pStyle w:val="10"/>
        <w:numPr>
          <w:ilvl w:val="0"/>
          <w:numId w:val="1"/>
        </w:numPr>
        <w:ind w:left="0" w:firstLineChars="200" w:firstLine="640"/>
        <w:rPr>
          <w:rFonts w:ascii="仿宋_GB2312" w:eastAsia="仿宋_GB2312" w:hAnsi="仿宋"/>
          <w:sz w:val="32"/>
          <w:szCs w:val="32"/>
        </w:rPr>
      </w:pPr>
      <w:r>
        <w:rPr>
          <w:rFonts w:ascii="仿宋_GB2312" w:eastAsia="仿宋_GB2312" w:hAnsi="仿宋" w:hint="eastAsia"/>
          <w:sz w:val="32"/>
          <w:szCs w:val="32"/>
        </w:rPr>
        <w:t>高校应加强对附属单位的监管。学校对不同类型的附属单位可以实行不同的经济监管方式，这些方式包括但不限于会计委派制、会计报表审核、内部审计、委托社会审计等。对于独立的事业法人、企业法人、社团法人等，学校应通过合法有效的形式履行出资人职责、维护出资人权益，规范附属单位经济行为。</w:t>
      </w:r>
    </w:p>
    <w:p w:rsidR="00B532E3" w:rsidRDefault="00B532E3">
      <w:pPr>
        <w:widowControl/>
        <w:jc w:val="left"/>
        <w:rPr>
          <w:rFonts w:ascii="华文中宋" w:eastAsia="华文中宋" w:hAnsi="华文中宋" w:cs="宋体"/>
          <w:kern w:val="0"/>
          <w:sz w:val="36"/>
          <w:szCs w:val="36"/>
        </w:rPr>
      </w:pPr>
      <w:r>
        <w:rPr>
          <w:rFonts w:ascii="华文中宋" w:eastAsia="华文中宋" w:hAnsi="华文中宋" w:cs="宋体"/>
          <w:kern w:val="0"/>
          <w:sz w:val="36"/>
          <w:szCs w:val="36"/>
        </w:rPr>
        <w:br w:type="page"/>
      </w:r>
    </w:p>
    <w:p w:rsidR="00B532E3" w:rsidRDefault="00B532E3">
      <w:pPr>
        <w:widowControl/>
        <w:contextualSpacing/>
        <w:jc w:val="center"/>
        <w:outlineLvl w:val="0"/>
        <w:rPr>
          <w:rFonts w:ascii="华文中宋" w:eastAsia="华文中宋" w:hAnsi="华文中宋" w:cs="宋体"/>
          <w:kern w:val="0"/>
          <w:sz w:val="36"/>
          <w:szCs w:val="36"/>
        </w:rPr>
      </w:pPr>
      <w:bookmarkStart w:id="7" w:name="_Toc423337773"/>
      <w:bookmarkEnd w:id="6"/>
      <w:r>
        <w:rPr>
          <w:rFonts w:ascii="华文中宋" w:eastAsia="华文中宋" w:hAnsi="华文中宋" w:cs="宋体" w:hint="eastAsia"/>
          <w:kern w:val="0"/>
          <w:sz w:val="36"/>
          <w:szCs w:val="36"/>
        </w:rPr>
        <w:t>内部控制应用指南</w:t>
      </w:r>
      <w:bookmarkEnd w:id="7"/>
    </w:p>
    <w:p w:rsidR="00B532E3" w:rsidRDefault="00B532E3">
      <w:pPr>
        <w:rPr>
          <w:sz w:val="32"/>
          <w:szCs w:val="32"/>
        </w:rPr>
      </w:pPr>
    </w:p>
    <w:p w:rsidR="00B532E3" w:rsidRDefault="00B532E3">
      <w:pPr>
        <w:widowControl/>
        <w:contextualSpacing/>
        <w:jc w:val="center"/>
        <w:outlineLvl w:val="0"/>
        <w:rPr>
          <w:rFonts w:ascii="黑体" w:eastAsia="黑体" w:hAnsi="黑体" w:cs="宋体"/>
          <w:kern w:val="0"/>
          <w:sz w:val="32"/>
          <w:szCs w:val="32"/>
        </w:rPr>
      </w:pPr>
      <w:bookmarkStart w:id="8" w:name="_Toc423337774"/>
      <w:r>
        <w:rPr>
          <w:rFonts w:ascii="黑体" w:eastAsia="黑体" w:hAnsi="黑体" w:cs="宋体" w:hint="eastAsia"/>
          <w:kern w:val="0"/>
          <w:sz w:val="32"/>
          <w:szCs w:val="32"/>
        </w:rPr>
        <w:t>第</w:t>
      </w:r>
      <w:r>
        <w:rPr>
          <w:rFonts w:ascii="黑体" w:eastAsia="黑体" w:hAnsi="黑体" w:cs="宋体"/>
          <w:kern w:val="0"/>
          <w:sz w:val="32"/>
          <w:szCs w:val="32"/>
        </w:rPr>
        <w:t>1</w:t>
      </w:r>
      <w:r>
        <w:rPr>
          <w:rFonts w:ascii="黑体" w:eastAsia="黑体" w:hAnsi="黑体" w:cs="宋体" w:hint="eastAsia"/>
          <w:kern w:val="0"/>
          <w:sz w:val="32"/>
          <w:szCs w:val="32"/>
        </w:rPr>
        <w:t>号</w:t>
      </w:r>
      <w:r>
        <w:rPr>
          <w:rFonts w:ascii="黑体" w:eastAsia="黑体" w:hAnsi="黑体" w:cs="宋体"/>
          <w:kern w:val="0"/>
          <w:sz w:val="32"/>
          <w:szCs w:val="32"/>
        </w:rPr>
        <w:t>—</w:t>
      </w:r>
      <w:r>
        <w:rPr>
          <w:rFonts w:ascii="黑体" w:eastAsia="黑体" w:hAnsi="黑体" w:cs="宋体" w:hint="eastAsia"/>
          <w:kern w:val="0"/>
          <w:sz w:val="32"/>
          <w:szCs w:val="32"/>
        </w:rPr>
        <w:t>控制环境</w:t>
      </w:r>
      <w:bookmarkEnd w:id="8"/>
    </w:p>
    <w:p w:rsidR="00B532E3" w:rsidRDefault="00B532E3" w:rsidP="00984DDA">
      <w:pPr>
        <w:pStyle w:val="Heading2"/>
        <w:numPr>
          <w:ilvl w:val="0"/>
          <w:numId w:val="2"/>
        </w:numPr>
        <w:adjustRightInd w:val="0"/>
        <w:spacing w:beforeLines="100" w:after="0" w:line="240" w:lineRule="auto"/>
        <w:contextualSpacing/>
        <w:jc w:val="center"/>
        <w:rPr>
          <w:rFonts w:ascii="华文中宋" w:eastAsia="华文中宋" w:hAnsi="华文中宋"/>
          <w:b w:val="0"/>
        </w:rPr>
      </w:pPr>
      <w:bookmarkStart w:id="9" w:name="_Toc423011501"/>
      <w:bookmarkStart w:id="10" w:name="_Toc423337775"/>
      <w:bookmarkStart w:id="11" w:name="_Toc423337663"/>
      <w:r>
        <w:rPr>
          <w:rFonts w:ascii="华文中宋" w:eastAsia="华文中宋" w:hAnsi="华文中宋" w:hint="eastAsia"/>
          <w:b w:val="0"/>
        </w:rPr>
        <w:t>总则</w:t>
      </w:r>
      <w:bookmarkEnd w:id="9"/>
      <w:bookmarkEnd w:id="10"/>
      <w:bookmarkEnd w:id="11"/>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控制环境，是指高校内部控制存在和发展的空间，是实施内部控制的基础，直接影响、制约着内部控制的建立和执行，主要包括发展规划、内部控制组织架构、运行机制、关键岗位与人员、会计及信息系统等方面。</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高校内部控制应重点关注控制环境中的下列风险：</w:t>
      </w:r>
    </w:p>
    <w:p w:rsidR="00B532E3" w:rsidRDefault="00B532E3">
      <w:pPr>
        <w:ind w:firstLineChars="200" w:firstLine="640"/>
        <w:rPr>
          <w:rFonts w:ascii="仿宋_GB2312" w:eastAsia="仿宋_GB2312" w:hAnsi="仿宋"/>
          <w:sz w:val="32"/>
          <w:szCs w:val="32"/>
        </w:rPr>
      </w:pPr>
      <w:r>
        <w:rPr>
          <w:rFonts w:ascii="仿宋_GB2312" w:eastAsia="仿宋_GB2312" w:hAnsi="仿宋" w:hint="eastAsia"/>
          <w:sz w:val="32"/>
          <w:szCs w:val="32"/>
        </w:rPr>
        <w:t>（一）发展规划不明确，或规划实施不到位，可能导致学校盲目发展，脱离实际，造成资源浪费，难以形成竞争优势，丧失发展机遇和动力。</w:t>
      </w:r>
    </w:p>
    <w:p w:rsidR="00B532E3" w:rsidRDefault="00B532E3">
      <w:pPr>
        <w:ind w:firstLineChars="200" w:firstLine="640"/>
        <w:rPr>
          <w:rFonts w:ascii="仿宋_GB2312" w:eastAsia="仿宋_GB2312" w:hAnsi="仿宋"/>
          <w:sz w:val="32"/>
          <w:szCs w:val="32"/>
        </w:rPr>
      </w:pPr>
      <w:r>
        <w:rPr>
          <w:rFonts w:ascii="仿宋_GB2312" w:eastAsia="仿宋_GB2312" w:hAnsi="仿宋" w:hint="eastAsia"/>
          <w:sz w:val="32"/>
          <w:szCs w:val="32"/>
        </w:rPr>
        <w:t>（二）治理结构不完善，缺乏科学决策、良性运行机制和有效执行，可能导致高校事业发展停滞或缓慢，难以实现发展目标。</w:t>
      </w:r>
    </w:p>
    <w:p w:rsidR="00B532E3" w:rsidRDefault="00B532E3">
      <w:pPr>
        <w:ind w:firstLineChars="200" w:firstLine="640"/>
        <w:rPr>
          <w:rFonts w:ascii="仿宋_GB2312" w:eastAsia="仿宋_GB2312" w:hAnsi="仿宋"/>
          <w:sz w:val="32"/>
          <w:szCs w:val="32"/>
        </w:rPr>
      </w:pPr>
      <w:r>
        <w:rPr>
          <w:rFonts w:ascii="仿宋_GB2312" w:eastAsia="仿宋_GB2312" w:hAnsi="仿宋" w:hint="eastAsia"/>
          <w:sz w:val="32"/>
          <w:szCs w:val="32"/>
        </w:rPr>
        <w:t>（三）内部机构设计不科学，权责分配不合理，可能导致机构重叠、职能交叉或缺失、推诿扯皮，运行效率低下。岗位设置不合理，岗位职责不明确，可能导致关键岗位缺失控制和监督，产生控制风险。</w:t>
      </w:r>
    </w:p>
    <w:p w:rsidR="00B532E3" w:rsidRDefault="00B532E3" w:rsidP="00984DDA">
      <w:pPr>
        <w:spacing w:afterLines="50"/>
        <w:ind w:firstLineChars="200" w:firstLine="640"/>
        <w:rPr>
          <w:rFonts w:ascii="仿宋_GB2312" w:eastAsia="仿宋_GB2312" w:hAnsi="仿宋"/>
          <w:sz w:val="32"/>
          <w:szCs w:val="32"/>
        </w:rPr>
      </w:pPr>
      <w:r>
        <w:rPr>
          <w:rFonts w:ascii="仿宋_GB2312" w:eastAsia="仿宋_GB2312" w:hAnsi="仿宋" w:hint="eastAsia"/>
          <w:sz w:val="32"/>
          <w:szCs w:val="32"/>
        </w:rPr>
        <w:t>（四）会计与信息系统建设不到位，人力资源政策不合理，缺乏积极向上的大学文化等，可能造成内部控制建设贯彻落实不到位。</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控制环境建设应当全面考虑学校经济活动的决策、执行和监督全过程，关注重要经济活动及其可能产生的的重大风险。</w:t>
      </w:r>
    </w:p>
    <w:p w:rsidR="00B532E3" w:rsidRDefault="00B532E3" w:rsidP="00984DDA">
      <w:pPr>
        <w:pStyle w:val="Heading2"/>
        <w:numPr>
          <w:ilvl w:val="0"/>
          <w:numId w:val="2"/>
        </w:numPr>
        <w:adjustRightInd w:val="0"/>
        <w:spacing w:beforeLines="100" w:after="0" w:line="240" w:lineRule="auto"/>
        <w:contextualSpacing/>
        <w:jc w:val="center"/>
        <w:rPr>
          <w:rFonts w:ascii="华文中宋" w:eastAsia="华文中宋" w:hAnsi="华文中宋"/>
          <w:b w:val="0"/>
        </w:rPr>
      </w:pPr>
      <w:bookmarkStart w:id="12" w:name="_Toc423011502"/>
      <w:bookmarkStart w:id="13" w:name="_Toc423337776"/>
      <w:bookmarkStart w:id="14" w:name="_Toc423337664"/>
      <w:r>
        <w:rPr>
          <w:rFonts w:ascii="华文中宋" w:eastAsia="华文中宋" w:hAnsi="华文中宋" w:hint="eastAsia"/>
          <w:b w:val="0"/>
        </w:rPr>
        <w:t>发展</w:t>
      </w:r>
      <w:bookmarkEnd w:id="12"/>
      <w:bookmarkEnd w:id="13"/>
      <w:bookmarkEnd w:id="14"/>
      <w:r>
        <w:rPr>
          <w:rFonts w:ascii="华文中宋" w:eastAsia="华文中宋" w:hAnsi="华文中宋" w:hint="eastAsia"/>
          <w:b w:val="0"/>
        </w:rPr>
        <w:t>规划</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发展规划是指高校结合自身定位，在对现实状况进行综合分析和对未来趋势进行科学预测的基础上，制定并实施的长远发展愿景与发展计划。</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高校应当设立或指定相关机构负责发展规划的制定与落实工作，明确部门职责、议事规则和岗位要求。</w:t>
      </w:r>
      <w:r>
        <w:rPr>
          <w:rFonts w:ascii="仿宋_GB2312" w:eastAsia="仿宋_GB2312" w:hAnsi="华文中宋"/>
          <w:sz w:val="32"/>
          <w:szCs w:val="30"/>
        </w:rPr>
        <w:t xml:space="preserve">  </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高校根据发展愿景制定战略规划，发展愿景的制定应在充分调查研究、科学分析预测和广泛征求意见的基础上进行。发展规划应当确定每个发展阶段的具体目标、工作任务和实施路径。</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高校发展规划方案按照学校法定程序批准后实施。需报送教育部审批的，应在报经教育部审批后方可实施。</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学校应当根据发展规划编制年度工作计划；同时完善发展规划贯彻落实的保障制度，确保发展规划的有效实施。</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高校规划管理部门应当加强对规划实施情况的监控，定期收集和分析相关信息，对于明显偏离发展规划的情况应及时报告；确需对发展规划做出调整的，应当按照规定权限和程序调整发展。</w:t>
      </w:r>
    </w:p>
    <w:p w:rsidR="00B532E3" w:rsidRDefault="00B532E3" w:rsidP="00984DDA">
      <w:pPr>
        <w:pStyle w:val="Heading2"/>
        <w:numPr>
          <w:ilvl w:val="0"/>
          <w:numId w:val="2"/>
        </w:numPr>
        <w:adjustRightInd w:val="0"/>
        <w:spacing w:beforeLines="100" w:after="0" w:line="240" w:lineRule="auto"/>
        <w:contextualSpacing/>
        <w:jc w:val="center"/>
        <w:rPr>
          <w:rFonts w:ascii="华文中宋" w:eastAsia="华文中宋" w:hAnsi="华文中宋"/>
          <w:b w:val="0"/>
        </w:rPr>
      </w:pPr>
      <w:bookmarkStart w:id="15" w:name="_Toc423011503"/>
      <w:bookmarkStart w:id="16" w:name="_Toc423337777"/>
      <w:bookmarkStart w:id="17" w:name="_Toc423337665"/>
      <w:r>
        <w:rPr>
          <w:rFonts w:ascii="华文中宋" w:eastAsia="华文中宋" w:hAnsi="华文中宋" w:hint="eastAsia"/>
          <w:b w:val="0"/>
        </w:rPr>
        <w:t>组织架构</w:t>
      </w:r>
      <w:bookmarkEnd w:id="15"/>
      <w:bookmarkEnd w:id="16"/>
      <w:bookmarkEnd w:id="17"/>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组织架构是指高校按照国家有关法律法规、大学章程，结合高校实际，明确内部各层级机构设置、职责权限、人员编制、工作程序和相关要求的制度安排，包括组织机构和岗位设置等。</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按照科学、精简、高效、透明、制衡的原则，综合考虑发展战略、管理要求和学校文化等因素，合理设置组织机构，明确各机构的职责权限、人员任职条件、议事规则和工作程序，避免职能交叉、缺失或权责过于集中。</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高校党委应切实负起对学校内部控制工作的领导责任，按规定权限集体研究决定经济活动重大事项，支持校长依法自主负责地开展内部控制建设。</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校长在党委领导下全面负责学校的内部控制各项工作。校长办公会议按规定权限对学校经济活动重要事项进行决策。党政领导班子其他成员按照“一岗双责”的要求，根据分工抓好职责范围内的内部控制工作。</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高校应对现有治理结构和内部机构设置进行全面梳理，并对内部机构设置的合理性和运行的效率性等定期进行评估，及时进行调整、消除存在的缺陷。</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高校应将内部控制与组织机构设置有机联系起来，确保组织机构设置科学、机制运行顺畅、控制监督有力。</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高校应当单独设置内部控制职能部门或确定内部控制牵头部门，负责组织协调内部控制工作，为内部控制的建立与实施工作提供强有力的组织保障。</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高校应当根据内部控制的总体要求，合理划分校内各部门的职能，厘清各部门在组织层面和业务层面内部控制中的角色和分工，确定具体岗位、职责和工作要求等，明确各个岗位的权限和相互制衡关系。</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高校在确定岗位职责和分工的过程中，应当体现不相容职务相互分离的要求。不相容职务通常包括：可行性研究与决策审批；决策审批与执行；执行与监督检查等。</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高校应当制定组织结构图、业务流程图、岗（职）位职责和权限指引等内部管理制度或相关文件，使教职工了解和掌握组织架构设计及权责分配情况，正确履行职责。</w:t>
      </w:r>
    </w:p>
    <w:p w:rsidR="00B532E3" w:rsidRDefault="00B532E3" w:rsidP="00984DDA">
      <w:pPr>
        <w:pStyle w:val="Heading2"/>
        <w:numPr>
          <w:ilvl w:val="0"/>
          <w:numId w:val="2"/>
        </w:numPr>
        <w:adjustRightInd w:val="0"/>
        <w:spacing w:beforeLines="100" w:after="0" w:line="240" w:lineRule="auto"/>
        <w:contextualSpacing/>
        <w:jc w:val="center"/>
        <w:rPr>
          <w:rFonts w:ascii="华文中宋" w:eastAsia="华文中宋" w:hAnsi="华文中宋"/>
          <w:b w:val="0"/>
        </w:rPr>
      </w:pPr>
      <w:bookmarkStart w:id="18" w:name="_Toc423337666"/>
      <w:bookmarkStart w:id="19" w:name="_Toc423337778"/>
      <w:bookmarkStart w:id="20" w:name="_Toc423011504"/>
      <w:r>
        <w:rPr>
          <w:rFonts w:ascii="华文中宋" w:eastAsia="华文中宋" w:hAnsi="华文中宋" w:hint="eastAsia"/>
          <w:b w:val="0"/>
        </w:rPr>
        <w:t>运行机制</w:t>
      </w:r>
      <w:bookmarkEnd w:id="18"/>
      <w:bookmarkEnd w:id="19"/>
      <w:bookmarkEnd w:id="20"/>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运行机制是指包括决策机制、执行机制、协同机制、监督机制等在内的保证高校内部控制目标实现的内部运行和制衡机制。</w:t>
      </w:r>
    </w:p>
    <w:p w:rsidR="00B532E3" w:rsidRDefault="00B532E3">
      <w:pPr>
        <w:pStyle w:val="1"/>
        <w:numPr>
          <w:ilvl w:val="0"/>
          <w:numId w:val="3"/>
        </w:numPr>
        <w:ind w:left="0" w:firstLine="640"/>
        <w:contextualSpacing/>
        <w:rPr>
          <w:rFonts w:ascii="仿宋_GB2312" w:eastAsia="仿宋_GB2312" w:hAnsi="仿宋" w:cs="仿宋"/>
          <w:sz w:val="32"/>
          <w:szCs w:val="32"/>
        </w:rPr>
      </w:pPr>
      <w:r>
        <w:rPr>
          <w:rFonts w:ascii="仿宋_GB2312" w:eastAsia="仿宋_GB2312" w:hAnsi="华文中宋" w:hint="eastAsia"/>
          <w:sz w:val="32"/>
          <w:szCs w:val="30"/>
        </w:rPr>
        <w:t>高校的重大经济决策、重大经济事项、大额资金支付业务等，应当按照规定的权限和程序实行</w:t>
      </w:r>
      <w:r>
        <w:rPr>
          <w:rFonts w:ascii="仿宋_GB2312" w:eastAsia="仿宋_GB2312" w:hAnsi="仿宋" w:cs="仿宋" w:hint="eastAsia"/>
          <w:sz w:val="32"/>
          <w:szCs w:val="32"/>
        </w:rPr>
        <w:t>集体决策审批或者联签制度，并应以记实方式记录集体决策过程。对于重大事项，任何个人不得单独进行决策或者擅自改变集体决策意见。</w:t>
      </w:r>
    </w:p>
    <w:p w:rsidR="00B532E3" w:rsidRDefault="00B532E3">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重大</w:t>
      </w:r>
      <w:r>
        <w:rPr>
          <w:rFonts w:ascii="仿宋_GB2312" w:eastAsia="仿宋_GB2312" w:hAnsi="华文中宋" w:hint="eastAsia"/>
          <w:sz w:val="32"/>
          <w:szCs w:val="30"/>
        </w:rPr>
        <w:t>经济</w:t>
      </w:r>
      <w:r>
        <w:rPr>
          <w:rFonts w:ascii="仿宋_GB2312" w:eastAsia="仿宋_GB2312" w:hAnsi="仿宋" w:cs="仿宋" w:hint="eastAsia"/>
          <w:sz w:val="32"/>
          <w:szCs w:val="32"/>
        </w:rPr>
        <w:t>决策、重大</w:t>
      </w:r>
      <w:r>
        <w:rPr>
          <w:rFonts w:ascii="仿宋_GB2312" w:eastAsia="仿宋_GB2312" w:hAnsi="华文中宋" w:hint="eastAsia"/>
          <w:sz w:val="32"/>
          <w:szCs w:val="30"/>
        </w:rPr>
        <w:t>经济</w:t>
      </w:r>
      <w:r>
        <w:rPr>
          <w:rFonts w:ascii="仿宋_GB2312" w:eastAsia="仿宋_GB2312" w:hAnsi="仿宋" w:cs="仿宋" w:hint="eastAsia"/>
          <w:sz w:val="32"/>
          <w:szCs w:val="32"/>
        </w:rPr>
        <w:t>事项、大额资金支付业务的具体内容或标准由高校根据实际情况自行确定。</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高校应建立并完善包括不相容岗位相分离、内部授权审批控制、归口管理、预算控制、资产保护控制、会计控制、单据控制、信息公开控制、信息技术控制等措施在内的内部控制执行机制。</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以预算为主线、资金管控为核心”的业务流程协同机制，积极发挥财务、政府采购、基建、资产管理、科研、合同管理等与经济活动相关部门或岗位的作用，保证内部控制在分权的基础上充分高效地运行。</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高校应充分发挥内部审计、纪检监察部门的作用，通过内部控制评价和内部审计监督及时发现内部控制建立和实施中的问题和薄弱环节，并及时改进，确保内部控制体系得以有效运行。</w:t>
      </w:r>
    </w:p>
    <w:p w:rsidR="00B532E3" w:rsidRDefault="00B532E3" w:rsidP="00BA5D3B">
      <w:pPr>
        <w:pStyle w:val="Heading2"/>
        <w:numPr>
          <w:ilvl w:val="0"/>
          <w:numId w:val="2"/>
        </w:numPr>
        <w:adjustRightInd w:val="0"/>
        <w:spacing w:beforeLines="100" w:after="0" w:line="240" w:lineRule="auto"/>
        <w:contextualSpacing/>
        <w:jc w:val="center"/>
        <w:rPr>
          <w:rFonts w:ascii="华文中宋" w:eastAsia="华文中宋" w:hAnsi="华文中宋"/>
          <w:b w:val="0"/>
        </w:rPr>
      </w:pPr>
      <w:bookmarkStart w:id="21" w:name="_Toc423337667"/>
      <w:bookmarkStart w:id="22" w:name="_Toc423337779"/>
      <w:bookmarkStart w:id="23" w:name="_Toc423011505"/>
      <w:r>
        <w:rPr>
          <w:rFonts w:ascii="华文中宋" w:eastAsia="华文中宋" w:hAnsi="华文中宋" w:hint="eastAsia"/>
          <w:b w:val="0"/>
        </w:rPr>
        <w:t>关键岗位与人员</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高校内部控制关键岗位主要包括预算业务管理、收支业务管理、政府采购业务管理、资产管理、建设项目管理、合同管理以及内部监督等经济活动的重要岗位。</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明确关键岗位职责权限、任职条件和工作要求，切实做到因事设岗、以岗选人、避免因人设事或设岗。并遵循德才兼备、以德为先和公开、公平、公正的原则，通过公开招聘、竞争上岗等多种方式选聘具备与关键岗位相适应的资格和能力，能够胜任岗位职责要求的优秀人才。</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高校应当加强内部控制关键岗位工作人员的职业道德教育和业务培训，不断提高工作人员的职业道德水平和综合素质，不断提升员工的专业技能及业务水平。</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制定关键岗位人员定期轮岗制度，根据学校实际情况明确轮岗范围、轮岗周期、轮岗方式等。对暂不具备轮岗条件的，应当采取专项审计等控制措施替代轮岗制度，确保关键岗位工作人员认真依法履行岗位职责。</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高校应当建立健全关键岗位人员退出机制，明确退出的条件和程序，确保退出机制得到有效实施。高校内部控制关键岗位人员离职前，应根据有关法律法规和单位规定进行工作交接、离任审计等。</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高校应当建立和完善关键岗位人员考核奖惩机制，定期对关键岗位人员履职尽责情况进行考核与评估，并根据考核与评估结果实施奖惩。</w:t>
      </w:r>
    </w:p>
    <w:p w:rsidR="00B532E3" w:rsidRDefault="00B532E3" w:rsidP="00984DDA">
      <w:pPr>
        <w:pStyle w:val="Heading2"/>
        <w:numPr>
          <w:ilvl w:val="0"/>
          <w:numId w:val="2"/>
        </w:numPr>
        <w:adjustRightInd w:val="0"/>
        <w:spacing w:beforeLines="100" w:after="0" w:line="240" w:lineRule="auto"/>
        <w:contextualSpacing/>
        <w:jc w:val="center"/>
        <w:rPr>
          <w:rFonts w:ascii="华文中宋" w:eastAsia="华文中宋" w:hAnsi="华文中宋"/>
          <w:b w:val="0"/>
        </w:rPr>
      </w:pPr>
      <w:r>
        <w:rPr>
          <w:rFonts w:ascii="华文中宋" w:eastAsia="华文中宋" w:hAnsi="华文中宋" w:hint="eastAsia"/>
          <w:b w:val="0"/>
        </w:rPr>
        <w:t>会计与信息系统</w:t>
      </w:r>
      <w:bookmarkEnd w:id="21"/>
      <w:bookmarkEnd w:id="22"/>
      <w:bookmarkEnd w:id="23"/>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的会计与信息系统，包括会计系统和信息系统，其中会计系统是指高校会计机构、会计人员和会计工作的有机组合，信息系统是指高校利用计算机和通信技术，对经济活动过程中产生的数据进行集成、转化和提升所形成的信息化管理平台。</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按照《会计法》等法律法规要求，建立健全会计机构，明确会计机构的职责和权限，依法合理设置会计工作岗位，进行岗位授权和职责分工，配备具备资格条件的会计工作人员，加强会计人员专业技能培训，明确学校会计工作的责任主体，为会计管理工作有序运转提供组织和人员保障。</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高校应当根据《会计法》等法律法规，结合学校实际建立内部会计管理制度，制定会计工作的基础规范，明确会计管理要求，确保会计工作有章可循、有据可依。</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高校应当按照《会计法》等法规的要求，对学校发生的各项经济业务进行记录、归集、分类和编报，完善会计业务处理流程，充分发挥会计系统的控制职能。</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高校应当根据内部控制相关要求，结合组织机构、业务过程、技术能力等因素，制定信息系统建设总体规划，健全信息系统管理程序，设置信息系统管理岗位，明确信息系统管理责任，对信息系统实行归口管理。</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充分运用现代科学技术手段加强内部控制，将经济活动及其内部控制流程嵌入信息系统中，并确保各重要信息系统之间的互联互通、信息共享和业务协同。以减少或消除人为操纵因素，提高办事效率和管理水平，促进信息公开和廉政建设，增强经济活动处理过程与结果的透明和公正。</w:t>
      </w:r>
    </w:p>
    <w:p w:rsidR="00B532E3" w:rsidRDefault="00B532E3">
      <w:pPr>
        <w:pStyle w:val="1"/>
        <w:numPr>
          <w:ilvl w:val="0"/>
          <w:numId w:val="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高校要强化信息系统的安全管理，建立用户管理制度、系统数据定期备份制度、信息系统安全保密和泄密责任追究制度等措施，确保重要信息系统安全、可靠，增强信息安全保障能力。</w:t>
      </w:r>
      <w:r>
        <w:rPr>
          <w:rFonts w:ascii="仿宋_GB2312" w:eastAsia="仿宋_GB2312" w:hAnsi="华文中宋"/>
          <w:sz w:val="32"/>
          <w:szCs w:val="30"/>
        </w:rP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24" w:name="_Toc423337782"/>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2</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预决算管理</w:t>
      </w:r>
      <w:bookmarkEnd w:id="24"/>
    </w:p>
    <w:p w:rsidR="00B532E3" w:rsidRDefault="00B532E3" w:rsidP="00984DDA">
      <w:pPr>
        <w:pStyle w:val="Heading2"/>
        <w:numPr>
          <w:ilvl w:val="0"/>
          <w:numId w:val="4"/>
        </w:numPr>
        <w:adjustRightInd w:val="0"/>
        <w:spacing w:beforeLines="100" w:after="0" w:line="240" w:lineRule="auto"/>
        <w:contextualSpacing/>
        <w:jc w:val="center"/>
        <w:rPr>
          <w:rFonts w:ascii="华文中宋" w:eastAsia="华文中宋" w:hAnsi="华文中宋"/>
          <w:b w:val="0"/>
        </w:rPr>
      </w:pPr>
      <w:bookmarkStart w:id="25" w:name="_Toc423337671"/>
      <w:bookmarkStart w:id="26" w:name="_Toc423337783"/>
      <w:r>
        <w:rPr>
          <w:rFonts w:ascii="华文中宋" w:eastAsia="华文中宋" w:hAnsi="华文中宋" w:hint="eastAsia"/>
          <w:b w:val="0"/>
        </w:rPr>
        <w:t>总</w:t>
      </w:r>
      <w:r>
        <w:rPr>
          <w:rFonts w:ascii="华文中宋" w:eastAsia="华文中宋" w:hAnsi="华文中宋"/>
          <w:b w:val="0"/>
        </w:rPr>
        <w:t xml:space="preserve">  </w:t>
      </w:r>
      <w:r>
        <w:rPr>
          <w:rFonts w:ascii="华文中宋" w:eastAsia="华文中宋" w:hAnsi="华文中宋" w:hint="eastAsia"/>
          <w:b w:val="0"/>
        </w:rPr>
        <w:t>则</w:t>
      </w:r>
      <w:bookmarkEnd w:id="25"/>
      <w:bookmarkEnd w:id="26"/>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本指南所称预算，是指高校根据事业发展规划和计划编制的年度财务收支计划。</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本指南所称决算，是指高校根据年度预算执行结果编制的年度报告，包括年度决算报表和财务情况说明书。</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高校预决算管理应当重点关注下列风险：</w:t>
      </w:r>
      <w:r>
        <w:rPr>
          <w:rFonts w:ascii="仿宋_GB2312" w:eastAsia="仿宋_GB2312" w:hAnsi="华文中宋"/>
          <w:sz w:val="32"/>
          <w:szCs w:val="30"/>
        </w:rPr>
        <w:t xml:space="preserve"> </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（一）</w:t>
      </w:r>
      <w:r>
        <w:rPr>
          <w:rFonts w:ascii="仿宋_GB2312" w:eastAsia="仿宋_GB2312" w:hAnsi="华文中宋"/>
          <w:sz w:val="32"/>
          <w:szCs w:val="30"/>
        </w:rPr>
        <w:tab/>
      </w:r>
      <w:r>
        <w:rPr>
          <w:rFonts w:ascii="仿宋_GB2312" w:eastAsia="仿宋_GB2312" w:hAnsi="华文中宋" w:hint="eastAsia"/>
          <w:sz w:val="32"/>
          <w:szCs w:val="30"/>
        </w:rPr>
        <w:t>预算与事业发展规划不匹配，预算与资产配置计划相脱节，预算编制资料不充分，编制方法不专业等原因可能导致预算无法获得批准，影响学校年度工作计划的完成，或事业发展目标实现的风险。</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（二）</w:t>
      </w:r>
      <w:r>
        <w:rPr>
          <w:rFonts w:ascii="仿宋_GB2312" w:eastAsia="仿宋_GB2312" w:hAnsi="华文中宋"/>
          <w:sz w:val="32"/>
          <w:szCs w:val="30"/>
        </w:rPr>
        <w:tab/>
      </w:r>
      <w:r>
        <w:rPr>
          <w:rFonts w:ascii="仿宋_GB2312" w:eastAsia="仿宋_GB2312" w:hAnsi="华文中宋" w:hint="eastAsia"/>
          <w:sz w:val="32"/>
          <w:szCs w:val="30"/>
        </w:rPr>
        <w:t>预算执行不规范，出现无预算、超预算开支，或者预算执行进度严重滞后等情形，可能造成资金浪费或闲置的风险。</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（三）</w:t>
      </w:r>
      <w:r>
        <w:rPr>
          <w:rFonts w:ascii="仿宋_GB2312" w:eastAsia="仿宋_GB2312" w:hAnsi="华文中宋"/>
          <w:sz w:val="32"/>
          <w:szCs w:val="30"/>
        </w:rPr>
        <w:tab/>
      </w:r>
      <w:r>
        <w:rPr>
          <w:rFonts w:ascii="仿宋_GB2312" w:eastAsia="仿宋_GB2312" w:hAnsi="华文中宋" w:hint="eastAsia"/>
          <w:sz w:val="32"/>
          <w:szCs w:val="30"/>
        </w:rPr>
        <w:t>预算调整未按程序执行，可能导致预算控制失效或产生相关舞弊行为的风险。</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（四）未开展或实施规范的预算绩效评价工作，可能导致预算资金配置或使用效益低下的风险。</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（五）会计决算信息不真实、不完整、不准确、不及时，可能导致财务信息无法客观反映高校实际情况和决策失误的风险。</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健全预决算管理体制和运行机制，明确各相关部门的职责权限、授权批准程序和工作协调机制，制订和完善预决算管理各项规章制度。全面梳理和分析预决算管理各环节的风险，并采取合理手段进行有效控制。</w:t>
      </w:r>
    </w:p>
    <w:p w:rsidR="00B532E3" w:rsidRDefault="00B532E3" w:rsidP="00984DDA">
      <w:pPr>
        <w:pStyle w:val="Heading2"/>
        <w:numPr>
          <w:ilvl w:val="0"/>
          <w:numId w:val="4"/>
        </w:numPr>
        <w:adjustRightInd w:val="0"/>
        <w:spacing w:beforeLines="100" w:after="0" w:line="240" w:lineRule="auto"/>
        <w:contextualSpacing/>
        <w:jc w:val="center"/>
        <w:rPr>
          <w:rFonts w:ascii="华文中宋" w:eastAsia="华文中宋" w:hAnsi="华文中宋"/>
          <w:b w:val="0"/>
        </w:rPr>
      </w:pPr>
      <w:bookmarkStart w:id="27" w:name="_Toc423337672"/>
      <w:bookmarkStart w:id="28" w:name="_Toc423337784"/>
      <w:r>
        <w:rPr>
          <w:rFonts w:ascii="华文中宋" w:eastAsia="华文中宋" w:hAnsi="华文中宋" w:hint="eastAsia"/>
          <w:b w:val="0"/>
        </w:rPr>
        <w:t>岗位设置和职责</w:t>
      </w:r>
      <w:bookmarkEnd w:id="27"/>
      <w:bookmarkEnd w:id="28"/>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高校应当建立健全预决算的议事决策机制和监督检查制度，确定预决算归口管理部门和预算执行主体，明确各自职责、分工和权限。高校预决算机构一般包括决策机构、执行机构和监督机构。</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高校应设立预算管理委员会或类似机构，负责拟定预决算政策，审议年度预算及具体分解方案，协调解决预算编制、调整与执行过程中出现的问题，组织开展预算绩效考核和预决算结果分析评价等工作。</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总会计师或分管财务工作的校领导应协助学校主要负责人开展预决算管理工作。</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高校应当合理设置预决算管理岗位，明确相关岗位的职责权限，确保预算编制与预算审批、预算审批与预算执行、预算执行与预算考核、决算编制与审核、决算审核与审批等不相容岗位的分离。</w:t>
      </w:r>
    </w:p>
    <w:p w:rsidR="00B532E3" w:rsidRDefault="00B532E3" w:rsidP="00984DDA">
      <w:pPr>
        <w:pStyle w:val="Heading2"/>
        <w:numPr>
          <w:ilvl w:val="0"/>
          <w:numId w:val="4"/>
        </w:numPr>
        <w:adjustRightInd w:val="0"/>
        <w:spacing w:beforeLines="100" w:after="0" w:line="240" w:lineRule="auto"/>
        <w:contextualSpacing/>
        <w:jc w:val="center"/>
        <w:rPr>
          <w:rFonts w:ascii="华文中宋" w:eastAsia="华文中宋" w:hAnsi="华文中宋"/>
          <w:b w:val="0"/>
        </w:rPr>
      </w:pPr>
      <w:bookmarkStart w:id="29" w:name="_Toc423337785"/>
      <w:bookmarkStart w:id="30" w:name="_Toc423337673"/>
      <w:r>
        <w:rPr>
          <w:rFonts w:ascii="华文中宋" w:eastAsia="华文中宋" w:hAnsi="华文中宋" w:hint="eastAsia"/>
          <w:b w:val="0"/>
        </w:rPr>
        <w:t>预算编制</w:t>
      </w:r>
      <w:bookmarkEnd w:id="29"/>
      <w:bookmarkEnd w:id="30"/>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在正确评价历年预算执行结果，合理预计当年收支规模的前提下，围绕学校事业发展规划、年度工作计划确定预算编制原则，明确预算绩效目标，并将绩效目标按职能或任务分解、下达到校内各个预算执行部门。</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高校应按照上下结合、分级编制、逐级汇总的程序，综合考虑结转和结余情况，按照上级主管部门要求，采用科学、合理的方法编制预算。</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高校财务部门应综合测算预算年度各项收入，对各单位预算建议数进行审核、汇总，经过充分论证、反复沟通实现收支平衡。</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对于基本建设工程、大型修缮工程、信息化项目和大宗物资采购等重大事项，应组织对项目的必要性、方案的可行性以及金额的合理性等进行科学论证，必要时应组织相关专家进行论证。</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高校应当建立健全预算审批管理制度，明确预算审批权限；严格执行“三重一大”程序，逐级审批。学校预算履行审批决策程序后方可上报教育部。</w:t>
      </w:r>
    </w:p>
    <w:p w:rsidR="00B532E3" w:rsidRDefault="00B532E3" w:rsidP="00984DDA">
      <w:pPr>
        <w:pStyle w:val="Heading2"/>
        <w:numPr>
          <w:ilvl w:val="0"/>
          <w:numId w:val="4"/>
        </w:numPr>
        <w:adjustRightInd w:val="0"/>
        <w:spacing w:beforeLines="100" w:after="0" w:line="240" w:lineRule="auto"/>
        <w:contextualSpacing/>
        <w:jc w:val="center"/>
        <w:rPr>
          <w:rFonts w:ascii="华文中宋" w:eastAsia="华文中宋" w:hAnsi="华文中宋"/>
          <w:b w:val="0"/>
        </w:rPr>
      </w:pPr>
      <w:bookmarkStart w:id="31" w:name="_Toc423337674"/>
      <w:bookmarkStart w:id="32" w:name="_Toc423337786"/>
      <w:r>
        <w:rPr>
          <w:rFonts w:ascii="华文中宋" w:eastAsia="华文中宋" w:hAnsi="华文中宋" w:hint="eastAsia"/>
          <w:b w:val="0"/>
        </w:rPr>
        <w:t>预算执行</w:t>
      </w:r>
      <w:bookmarkEnd w:id="31"/>
      <w:bookmarkEnd w:id="32"/>
      <w:r>
        <w:rPr>
          <w:rFonts w:ascii="华文中宋" w:eastAsia="华文中宋" w:hAnsi="华文中宋" w:hint="eastAsia"/>
          <w:b w:val="0"/>
        </w:rPr>
        <w:t>与调整</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高校应将上级批复的预算收入任务和支出指标分解后，下达到预算执行单位。下达任务或指标时应明确每一笔预算资金的经济责任人，确保事权与收入、支出责任相结合。</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高校应重视并认真做好预算执行工作，加快预算执行进度；加强对结转结余资金管理，制定政策盘活存量资金，建立预算统筹调剂机制。</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高校应严格按照法律法规组织会计核算和开展会计监督。监督内容包括各预算执行单位是否依法依规组织收入，各类支出是否符合依据、标准、审批权限和使用要求，项目支出预算是否专款专用等。</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高校应定期提供预算执行情况分析报告，提请预算委员会或类似机构研究预算执行中存在的问题，并提出解决问题的建议方案，按规定程序提交预算决策机构研究审定。</w:t>
      </w:r>
      <w:r>
        <w:rPr>
          <w:rFonts w:ascii="仿宋_GB2312" w:eastAsia="仿宋_GB2312" w:hAnsi="华文中宋"/>
          <w:sz w:val="32"/>
          <w:szCs w:val="30"/>
        </w:rPr>
        <w:t xml:space="preserve"> </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先有预算、后有支出”的预算支出机制，保持预算的稳定性和严肃性。同时，高校应当建立健全校内预算调整申请与审批程序。对由于工作任务变动等客观因素导致确需增加、减少或取消预算的，应当严格按有关规定履行相应的预算调整审批程序。</w:t>
      </w:r>
    </w:p>
    <w:p w:rsidR="00B532E3" w:rsidRDefault="00B532E3" w:rsidP="00984DDA">
      <w:pPr>
        <w:pStyle w:val="Heading2"/>
        <w:numPr>
          <w:ilvl w:val="0"/>
          <w:numId w:val="4"/>
        </w:numPr>
        <w:adjustRightInd w:val="0"/>
        <w:spacing w:beforeLines="100" w:after="0" w:line="240" w:lineRule="auto"/>
        <w:contextualSpacing/>
        <w:jc w:val="center"/>
        <w:rPr>
          <w:rFonts w:ascii="华文中宋" w:eastAsia="华文中宋" w:hAnsi="华文中宋"/>
          <w:b w:val="0"/>
        </w:rPr>
      </w:pPr>
      <w:bookmarkStart w:id="33" w:name="_Toc423337675"/>
      <w:bookmarkStart w:id="34" w:name="_Toc423337787"/>
      <w:r>
        <w:rPr>
          <w:rFonts w:ascii="华文中宋" w:eastAsia="华文中宋" w:hAnsi="华文中宋" w:hint="eastAsia"/>
          <w:b w:val="0"/>
        </w:rPr>
        <w:t>决算</w:t>
      </w:r>
      <w:bookmarkEnd w:id="33"/>
      <w:bookmarkEnd w:id="34"/>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高校应建立决算编制审核制度，明确报表编制和资料提供的责任主体、审批权限和时间要求等，确保决算真实、完整、准确、及时，符合有关法律法规要求。</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高校在编制年度财务报告前，应当进行必要的固定资产盘查、债权债务核实、对外投资核对、费用清算、收入催缴等工作，确保财务信息真实完整，全面、如实反映学校年度财务状况和收支情况。</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高校应当加强对汇总报表资料来源单位的财务管理和监督，确保其会计资料和财务报表的真实性、准确性。</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高校应当加强决算数据分析和分析结果运用工作，科学设置财务分析指标，对学校财务状况、学校与校内各部门财务收支等进行横向与纵向比较，为学校决策提供依据。</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高校应按规定编制决算报表附注和说明，做到内容完整、数据准确、分析到位。</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高校决算报告编制完成后，应按规定进程序审批后报教育部批准。经教育部批复后的决算应及时整理归档，永久保存。</w:t>
      </w:r>
    </w:p>
    <w:p w:rsidR="00B532E3" w:rsidRDefault="00B532E3" w:rsidP="00984DDA">
      <w:pPr>
        <w:pStyle w:val="Heading2"/>
        <w:numPr>
          <w:ilvl w:val="0"/>
          <w:numId w:val="4"/>
        </w:numPr>
        <w:adjustRightInd w:val="0"/>
        <w:spacing w:beforeLines="100" w:after="0" w:line="240" w:lineRule="auto"/>
        <w:contextualSpacing/>
        <w:jc w:val="center"/>
        <w:rPr>
          <w:rFonts w:ascii="华文中宋" w:eastAsia="华文中宋" w:hAnsi="华文中宋"/>
          <w:b w:val="0"/>
        </w:rPr>
      </w:pPr>
      <w:bookmarkStart w:id="35" w:name="_Toc423337676"/>
      <w:bookmarkStart w:id="36" w:name="_Toc423337788"/>
      <w:r>
        <w:rPr>
          <w:rFonts w:ascii="华文中宋" w:eastAsia="华文中宋" w:hAnsi="华文中宋" w:hint="eastAsia"/>
          <w:b w:val="0"/>
        </w:rPr>
        <w:t>预算绩效</w:t>
      </w:r>
      <w:bookmarkEnd w:id="35"/>
      <w:bookmarkEnd w:id="36"/>
      <w:r>
        <w:rPr>
          <w:rFonts w:ascii="华文中宋" w:eastAsia="华文中宋" w:hAnsi="华文中宋" w:hint="eastAsia"/>
          <w:b w:val="0"/>
        </w:rPr>
        <w:t>管理</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高校应当加强预算绩效管理，建立“预算编制有目标、预算执行有监控、预算完成有评价、评价结果有反馈、反馈结果有应用”的全过程预算绩效管理机制。</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高校在预算编制时对项目支出和整体支出设置绩效目标。项目支出绩效目标由业务职能部门根据专项发展规划目标设定，整体支出绩效目标由学校根据发展规划目标和年度目标设定。</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绩效目标应能清晰反映预算资金的预期产出和效益。绩效指标应尽量进行定量表述，不能以量化形式表述的，可采用定性表述，但应具有可衡量性。</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预算执行结束后，高校应根据主管部门要求对照确定的绩效目标开展绩效自评，形成相应的自评结果，作为学校预、决算的组成内容和以后年度预算申请、安排的重要基础。</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高校应建立对预算绩效目标完成情况的考核机制，并将评价结果与年度考核挂钩，与以后年度预算分配挂钩。</w:t>
      </w:r>
    </w:p>
    <w:p w:rsidR="00B532E3" w:rsidRDefault="00B532E3" w:rsidP="00984DDA">
      <w:pPr>
        <w:pStyle w:val="Heading2"/>
        <w:numPr>
          <w:ilvl w:val="0"/>
          <w:numId w:val="4"/>
        </w:numPr>
        <w:adjustRightInd w:val="0"/>
        <w:spacing w:beforeLines="100" w:after="0" w:line="240" w:lineRule="auto"/>
        <w:contextualSpacing/>
        <w:jc w:val="center"/>
        <w:rPr>
          <w:rFonts w:ascii="华文中宋" w:eastAsia="华文中宋" w:hAnsi="华文中宋"/>
          <w:b w:val="0"/>
        </w:rPr>
      </w:pPr>
      <w:bookmarkStart w:id="37" w:name="_Toc423337677"/>
      <w:bookmarkStart w:id="38" w:name="_Toc423337789"/>
      <w:r>
        <w:rPr>
          <w:rFonts w:ascii="华文中宋" w:eastAsia="华文中宋" w:hAnsi="华文中宋" w:hint="eastAsia"/>
          <w:b w:val="0"/>
        </w:rPr>
        <w:t>预算监督</w:t>
      </w:r>
      <w:bookmarkEnd w:id="37"/>
      <w:bookmarkEnd w:id="38"/>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高校应组织对年度预算收支执行情况进行审计，并将预算收支审计和绩效评价结果纳入校内各部门主要负责人年度考核和经济责任审计范畴。</w:t>
      </w:r>
    </w:p>
    <w:p w:rsidR="00B532E3" w:rsidRDefault="00B532E3">
      <w:pPr>
        <w:pStyle w:val="1"/>
        <w:numPr>
          <w:ilvl w:val="0"/>
          <w:numId w:val="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高校应通过教代会、校园网等多种渠道向校内公开预决算信息，接受内部监督；应按照教育部规定主动公开预决算报表及说明，接受社会监督。</w:t>
      </w:r>
    </w:p>
    <w:p w:rsidR="00B532E3" w:rsidRDefault="00B532E3">
      <w:pPr>
        <w:widowControl/>
        <w:jc w:val="left"/>
      </w:pPr>
      <w: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39" w:name="_Toc423337790"/>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3</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资产管理</w:t>
      </w:r>
      <w:bookmarkEnd w:id="0"/>
      <w:bookmarkEnd w:id="39"/>
    </w:p>
    <w:p w:rsidR="00B532E3" w:rsidRDefault="00B532E3" w:rsidP="00984DDA">
      <w:pPr>
        <w:pStyle w:val="Heading2"/>
        <w:numPr>
          <w:ilvl w:val="0"/>
          <w:numId w:val="6"/>
        </w:numPr>
        <w:adjustRightInd w:val="0"/>
        <w:spacing w:beforeLines="100" w:after="0" w:line="240" w:lineRule="auto"/>
        <w:contextualSpacing/>
        <w:jc w:val="center"/>
        <w:rPr>
          <w:rFonts w:ascii="华文中宋" w:eastAsia="华文中宋" w:hAnsi="华文中宋"/>
          <w:b w:val="0"/>
        </w:rPr>
      </w:pPr>
      <w:bookmarkStart w:id="40" w:name="_Toc423337791"/>
      <w:bookmarkStart w:id="41" w:name="_Toc423337679"/>
      <w:r>
        <w:rPr>
          <w:rFonts w:ascii="华文中宋" w:eastAsia="华文中宋" w:hAnsi="华文中宋" w:hint="eastAsia"/>
          <w:b w:val="0"/>
        </w:rPr>
        <w:t>总则</w:t>
      </w:r>
      <w:bookmarkEnd w:id="40"/>
      <w:bookmarkEnd w:id="41"/>
    </w:p>
    <w:p w:rsidR="00B532E3" w:rsidRDefault="00B532E3" w:rsidP="008900FC">
      <w:pPr>
        <w:pStyle w:val="1"/>
        <w:numPr>
          <w:ilvl w:val="0"/>
          <w:numId w:val="7"/>
        </w:numPr>
        <w:ind w:left="0" w:firstLine="640"/>
        <w:contextualSpacing/>
        <w:rPr>
          <w:rFonts w:ascii="仿宋_GB2312" w:eastAsia="仿宋_GB2312" w:hAnsi="华文中宋"/>
          <w:sz w:val="32"/>
          <w:szCs w:val="30"/>
        </w:rPr>
      </w:pPr>
      <w:r w:rsidRPr="008900FC">
        <w:rPr>
          <w:rFonts w:ascii="仿宋_GB2312" w:eastAsia="仿宋_GB2312" w:hAnsi="华文中宋" w:hint="eastAsia"/>
          <w:sz w:val="32"/>
          <w:szCs w:val="30"/>
        </w:rPr>
        <w:t>本指南所称资产是指高校占有或者使用的能以货币计量的经济资源，包括各种财产、债权和其他权利。高校的资产主要包括流动资产、固定资产、在建工程、无形资产和对外投资等。</w:t>
      </w:r>
      <w:r w:rsidRPr="006147F7">
        <w:rPr>
          <w:rFonts w:ascii="仿宋_GB2312" w:eastAsia="仿宋_GB2312" w:hAnsi="华文中宋" w:hint="eastAsia"/>
          <w:sz w:val="32"/>
          <w:szCs w:val="30"/>
        </w:rPr>
        <w:t>在建工程中基建工程、修缮工程管理由《应用指南第</w:t>
      </w:r>
      <w:r w:rsidRPr="006147F7">
        <w:rPr>
          <w:rFonts w:ascii="仿宋_GB2312" w:eastAsia="仿宋_GB2312" w:hAnsi="华文中宋"/>
          <w:sz w:val="32"/>
          <w:szCs w:val="30"/>
        </w:rPr>
        <w:t>9</w:t>
      </w:r>
      <w:r w:rsidRPr="006147F7">
        <w:rPr>
          <w:rFonts w:ascii="仿宋_GB2312" w:eastAsia="仿宋_GB2312" w:hAnsi="华文中宋" w:hint="eastAsia"/>
          <w:sz w:val="32"/>
          <w:szCs w:val="30"/>
        </w:rPr>
        <w:t>号</w:t>
      </w:r>
      <w:r w:rsidRPr="006147F7">
        <w:rPr>
          <w:rFonts w:ascii="仿宋_GB2312" w:eastAsia="仿宋_GB2312" w:hAnsi="华文中宋"/>
          <w:sz w:val="32"/>
          <w:szCs w:val="30"/>
        </w:rPr>
        <w:t>—</w:t>
      </w:r>
      <w:r w:rsidRPr="006147F7">
        <w:rPr>
          <w:rFonts w:ascii="仿宋_GB2312" w:eastAsia="仿宋_GB2312" w:hAnsi="华文中宋" w:hint="eastAsia"/>
          <w:sz w:val="32"/>
          <w:szCs w:val="30"/>
        </w:rPr>
        <w:t>工程项目管理》规范，购置的需安装的设备管理由《应用指南第</w:t>
      </w:r>
      <w:r w:rsidRPr="006147F7">
        <w:rPr>
          <w:rFonts w:ascii="仿宋_GB2312" w:eastAsia="仿宋_GB2312" w:hAnsi="华文中宋"/>
          <w:sz w:val="32"/>
          <w:szCs w:val="30"/>
        </w:rPr>
        <w:t>8</w:t>
      </w:r>
      <w:r w:rsidRPr="006147F7">
        <w:rPr>
          <w:rFonts w:ascii="仿宋_GB2312" w:eastAsia="仿宋_GB2312" w:hAnsi="华文中宋" w:hint="eastAsia"/>
          <w:sz w:val="32"/>
          <w:szCs w:val="30"/>
        </w:rPr>
        <w:t>号</w:t>
      </w:r>
      <w:r w:rsidRPr="006147F7">
        <w:rPr>
          <w:rFonts w:ascii="仿宋_GB2312" w:eastAsia="仿宋_GB2312" w:hAnsi="华文中宋"/>
          <w:sz w:val="32"/>
          <w:szCs w:val="30"/>
        </w:rPr>
        <w:t>—</w:t>
      </w:r>
      <w:r w:rsidRPr="006147F7">
        <w:rPr>
          <w:rFonts w:ascii="仿宋_GB2312" w:eastAsia="仿宋_GB2312" w:hAnsi="华文中宋" w:hint="eastAsia"/>
          <w:sz w:val="32"/>
          <w:szCs w:val="30"/>
        </w:rPr>
        <w:t>采购管理》规范。</w:t>
      </w:r>
    </w:p>
    <w:p w:rsidR="00B532E3" w:rsidRPr="008900FC" w:rsidRDefault="00B532E3" w:rsidP="008900FC">
      <w:pPr>
        <w:pStyle w:val="1"/>
        <w:numPr>
          <w:ilvl w:val="0"/>
          <w:numId w:val="7"/>
        </w:numPr>
        <w:ind w:left="0" w:firstLine="640"/>
        <w:contextualSpacing/>
        <w:rPr>
          <w:rFonts w:ascii="仿宋_GB2312" w:eastAsia="仿宋_GB2312" w:hAnsi="华文中宋"/>
          <w:sz w:val="32"/>
          <w:szCs w:val="30"/>
        </w:rPr>
      </w:pPr>
      <w:r w:rsidRPr="008900FC">
        <w:rPr>
          <w:rFonts w:ascii="仿宋_GB2312" w:eastAsia="仿宋_GB2312" w:hAnsi="华文中宋" w:hint="eastAsia"/>
          <w:sz w:val="32"/>
          <w:szCs w:val="30"/>
        </w:rPr>
        <w:t>高校资产管理应当重点关注下列风险：</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（一）内部控制不完善，货币资金可能被挪用或贪污等对高校造成损失。</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（二）实物资产配置不合理、验收盘点不及时或手续不全、使用不当、维护不力、出租出借管理不规范和处置程序不合规等，可能导致资产价值贬损、使用效能低下、资产遗失、出现安全隐患或者资源浪费。</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（三）无形资产缺乏核心技术、权属不清、技术落后、存在重大技术安全隐患，可能导致法律纠纷、缺乏可持续发展能力。</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（四）对外投资论证不足，投资科学性、合理性受限，可能导致投资权属存在隐患，投资无效益或负效益，资产的安全、完整无法保障。</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（五）应计提折旧的固定资产未按规定计提折旧或无形资产未按规定摊销，导致财务信息不真实、不完整。</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高校应当加强各项资产管理，全面梳理资产管理流程，及时发现资产管理中的薄弱环节，采取切实有效措施加以改进，不断提高资产管理水平。</w:t>
      </w:r>
    </w:p>
    <w:p w:rsidR="00B532E3" w:rsidRDefault="00B532E3" w:rsidP="00984DDA">
      <w:pPr>
        <w:pStyle w:val="Heading2"/>
        <w:numPr>
          <w:ilvl w:val="0"/>
          <w:numId w:val="6"/>
        </w:numPr>
        <w:adjustRightInd w:val="0"/>
        <w:spacing w:beforeLines="100" w:after="0" w:line="240" w:lineRule="auto"/>
        <w:contextualSpacing/>
        <w:jc w:val="center"/>
        <w:rPr>
          <w:rFonts w:ascii="华文中宋" w:eastAsia="华文中宋" w:hAnsi="华文中宋"/>
          <w:b w:val="0"/>
        </w:rPr>
      </w:pPr>
      <w:bookmarkStart w:id="42" w:name="_Toc423337680"/>
      <w:bookmarkStart w:id="43" w:name="_Toc423337792"/>
      <w:r>
        <w:rPr>
          <w:rFonts w:ascii="华文中宋" w:eastAsia="华文中宋" w:hAnsi="华文中宋" w:hint="eastAsia"/>
          <w:b w:val="0"/>
        </w:rPr>
        <w:t>岗位设置和职责</w:t>
      </w:r>
      <w:bookmarkEnd w:id="42"/>
      <w:bookmarkEnd w:id="43"/>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高校应当合理设置资产管理岗位，确保关键岗位人员合理配置，切实做到资产业务不相容岗位相互分离、制约和相互监督。</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高校应当合理设置资产管理业务涉及的货币资金、固定资产、存货、无形资产和对外投资控制环节中相关部门和岗位，明确其各自的职责范围、审批权限、工作要求等，并严格落实岗位责任制。</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货币资金业务的不相容岗位至少包括：货币资金支付的审批与执行；货币资金的保管与盘点清查；货币资金的会计记录与审计监督。</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实物资产业务不相容岗位至少包括：实物资产的预算编制、审批与执行；实物资产的采购、验收与款项支付；实物资产的保管与会计记录；实物资产的处置审批与执行。</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无形资产业务的不相容岗位至少包括：无形资产的预算编制、审批与执行；无形资产的取得、验收与款项支付。</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对外投资业务不相容岗位至少包括：对外投资项目可行性研究与评估；对外投资的决策与执行；对外投资处置的审批与执行。</w:t>
      </w:r>
    </w:p>
    <w:p w:rsidR="00B532E3" w:rsidRDefault="00B532E3" w:rsidP="00984DDA">
      <w:pPr>
        <w:pStyle w:val="Heading2"/>
        <w:numPr>
          <w:ilvl w:val="0"/>
          <w:numId w:val="6"/>
        </w:numPr>
        <w:adjustRightInd w:val="0"/>
        <w:spacing w:beforeLines="100" w:after="0" w:line="240" w:lineRule="auto"/>
        <w:contextualSpacing/>
        <w:jc w:val="center"/>
        <w:rPr>
          <w:rFonts w:ascii="华文中宋" w:eastAsia="华文中宋" w:hAnsi="华文中宋"/>
          <w:b w:val="0"/>
        </w:rPr>
      </w:pPr>
      <w:bookmarkStart w:id="44" w:name="_Toc423337681"/>
      <w:bookmarkStart w:id="45" w:name="_Toc423337793"/>
      <w:r>
        <w:rPr>
          <w:rFonts w:ascii="华文中宋" w:eastAsia="华文中宋" w:hAnsi="华文中宋" w:hint="eastAsia"/>
          <w:b w:val="0"/>
        </w:rPr>
        <w:t>货币资金</w:t>
      </w:r>
      <w:bookmarkEnd w:id="44"/>
      <w:bookmarkEnd w:id="45"/>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高校应当按照规定的程序办理货币资金支付业务。</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（一）支付申请。单位有关部门或个人用款时，应当提前向审批人提交货币资金支付申请，注明款项的用途、金额、预算、支付方式等内容，并附有效经济合同或相关证明。</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（二）支付审批。审批人根据其职责、权限和相应程序对支付申请进行审批。属于“三重一大”事项的，还应实行集体决策和审批。</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三）支付复核。复核人应当对批准后的货币资金支付申请进行复核，复核货币资金支付申请的批准范围、权限、程序是否正确，手续及相关单证是否齐备，金额计算是否准确，支付方式、支付单位是否妥当等。复核无误后，交由出纳人员办理支付手续。</w:t>
      </w:r>
    </w:p>
    <w:p w:rsidR="00B532E3" w:rsidRDefault="00B532E3">
      <w:pPr>
        <w:ind w:firstLineChars="200" w:firstLine="640"/>
        <w:contextualSpacing/>
        <w:rPr>
          <w:rFonts w:ascii="仿宋_GB2312" w:eastAsia="仿宋_GB2312" w:hAnsi="Times New Roman"/>
          <w:sz w:val="32"/>
          <w:szCs w:val="20"/>
        </w:rPr>
      </w:pPr>
      <w:r>
        <w:rPr>
          <w:rFonts w:ascii="仿宋_GB2312" w:eastAsia="仿宋_GB2312" w:hAnsi="Times New Roman" w:hint="eastAsia"/>
          <w:sz w:val="32"/>
          <w:szCs w:val="20"/>
        </w:rPr>
        <w:t>（四）办理支付。出纳人员应当根据复核无误的支付申请，按规定办理货币资金支付手续，及时登记现金和银行存款日记账。</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现金库存管理，超过库存限额的现金应及时存入银行。合理确定现金开支范围，不属于现金开支范围的业务应当通过银行办理转账结算。现金收入及时存入银行，不得坐收坐支。借出款项必须执行严格的授权批准程序，严禁擅自挪用、借出货币资金。</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高校应当定期和不定期地进行现金盘点，确保现金账面余额与实际库存相符。发现不符，应查明原因，及时做出处理。</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银行账户的管理，开立、变更或撤销银行账户要严格按照规定报批、备案。指定专人定期核对银行账户，每月至少核对一次，编制银行存款余额调节表，做到银行存款账面余额与银行对账单调节相符。如调节不符，应查明原因，及时处理。</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高校取得的货币资金收入必须及时入账，不得私设“小金库”，不得账外设账，严禁收款不入账。</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高校应当加强与取得货币资金相关的票据的管理，明确各种票据的购买、保管、领用、背书转让、注销等环节的职责权限和程序，并专设登记簿进行记录，防止空白票据的遗失和被盗用。</w:t>
      </w:r>
    </w:p>
    <w:p w:rsidR="00B532E3" w:rsidRDefault="00B532E3">
      <w:pPr>
        <w:pStyle w:val="1"/>
        <w:numPr>
          <w:ilvl w:val="0"/>
          <w:numId w:val="7"/>
        </w:numPr>
        <w:ind w:left="0" w:firstLine="640"/>
        <w:contextualSpacing/>
        <w:jc w:val="left"/>
        <w:rPr>
          <w:rFonts w:ascii="仿宋_GB2312" w:eastAsia="仿宋_GB2312" w:hAnsi="华文中宋"/>
          <w:sz w:val="32"/>
          <w:szCs w:val="30"/>
        </w:rPr>
      </w:pPr>
      <w:r>
        <w:rPr>
          <w:rFonts w:ascii="仿宋_GB2312" w:eastAsia="仿宋_GB2312" w:hAnsi="华文中宋" w:hint="eastAsia"/>
          <w:sz w:val="32"/>
          <w:szCs w:val="30"/>
        </w:rPr>
        <w:t>高校应当加强银行预留印鉴的管理。财务专用章应由专人保管，个人名章必须由本人或其授权人员保管。严禁一人保管支付款项所需的全部印章。实行电子支付的高校必须确保系统安全，且建立健全支付权限管理制度，加强分级支付额度管理，银行网银盾和用于财务系统支付的专用密钥及密码必须由本人保管。</w:t>
      </w:r>
    </w:p>
    <w:p w:rsidR="00B532E3" w:rsidRDefault="00B532E3" w:rsidP="00984DDA">
      <w:pPr>
        <w:pStyle w:val="Heading2"/>
        <w:numPr>
          <w:ilvl w:val="0"/>
          <w:numId w:val="6"/>
        </w:numPr>
        <w:adjustRightInd w:val="0"/>
        <w:spacing w:beforeLines="100" w:after="0" w:line="240" w:lineRule="auto"/>
        <w:contextualSpacing/>
        <w:jc w:val="center"/>
        <w:rPr>
          <w:rFonts w:ascii="华文中宋" w:eastAsia="华文中宋" w:hAnsi="华文中宋"/>
          <w:b w:val="0"/>
        </w:rPr>
      </w:pPr>
      <w:bookmarkStart w:id="46" w:name="_Toc423337794"/>
      <w:bookmarkStart w:id="47" w:name="_Toc423337682"/>
      <w:r>
        <w:rPr>
          <w:rFonts w:ascii="华文中宋" w:eastAsia="华文中宋" w:hAnsi="华文中宋" w:hint="eastAsia"/>
          <w:b w:val="0"/>
        </w:rPr>
        <w:t>固定资产</w:t>
      </w:r>
      <w:bookmarkEnd w:id="46"/>
      <w:bookmarkEnd w:id="47"/>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固定资产购置预算编制与支出管理。资产管理部门应根据学校事业发展规划，会同其它相关部门对需购置资产品名、规格、数量等进行充分论证，按规定程序批准后纳入年度预算。贵重仪器及大型设备的购置还应组织专家进行充分论证。</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高校应当加强固定资产采购和审批管理。固定资产申请购置部门、资产管理部门、采购管理部门、财务部门、主管校领导等需严格履行资产购置流程并经相关部门审批。符合政府采购条件的，应当执行政府采购。</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高校应当建立严格的固定资产交付使用验收制度，验收工作由基本建设、资产管理、监察审计、使用单位等相关部门共同实施。</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固定资产账簿登记制度和资产卡片管理制度，完善资产信息管理系统，做好资产的统计、报告、分析工作，确保资产账账、账实、账卡相符，并实现对资产的动态管理。财务部门、资产管理和使用部门应当定期核对相关账簿、记录、文件和实物，发现问题应及时报告和处理。</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贵重资产、危险资产及有保密等特殊要求的资产，应当指定专人保管、专人使用，并规定严格的接触限制条件和审批</w:t>
      </w:r>
      <w:r>
        <w:rPr>
          <w:rFonts w:ascii="仿宋_GB2312" w:eastAsia="仿宋_GB2312" w:hAnsi="华文中宋" w:hint="eastAsia"/>
          <w:color w:val="000000"/>
          <w:sz w:val="32"/>
          <w:szCs w:val="30"/>
        </w:rPr>
        <w:t>制度。</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高校应当建立固定资产维修保养制度，保证资产正常运行，控制资产维修保养费用，提高资产使用效率。</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固定资产使用部门负责固定资产日常维修、保养、定期检查，及时消除风险。固定资产需要大修的，应由资产管理部门、使用部门共同组织评估，提出维修方案，经单位负责人或其授权人员批准后实施。</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仿宋" w:hint="eastAsia"/>
          <w:sz w:val="32"/>
          <w:szCs w:val="32"/>
        </w:rPr>
        <w:t>高校应当建立健全固定资产出租出借管理制度，明确归口管理部门，建立严格的出租出借审批程序。凡需报上级主管部门备案或审批的，应按规定及时办理备案或报批手续。</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高校应当建立固定资产定期盘点制度，明确资产盘点的范围、期限和组织程序，定期或不定期地进行盘点。发现账实不符的，应编制资产盘盈、盘亏表并查明原因，追究责任，妥善处理。</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固定资产处置控制。组织相关部门或专业人员对固定资产的处置依据、处置方式、处置价格等进行审核，处置价款应当及时、足额地收取并及时入账。处置价款扣除相应税金、费用等后，应当及时上缴中央国库，实行“收支两条线”管理。</w:t>
      </w:r>
    </w:p>
    <w:p w:rsidR="00B532E3" w:rsidRDefault="00B532E3" w:rsidP="00984DDA">
      <w:pPr>
        <w:pStyle w:val="Heading2"/>
        <w:numPr>
          <w:ilvl w:val="0"/>
          <w:numId w:val="6"/>
        </w:numPr>
        <w:adjustRightInd w:val="0"/>
        <w:spacing w:beforeLines="100" w:after="0" w:line="240" w:lineRule="auto"/>
        <w:contextualSpacing/>
        <w:jc w:val="center"/>
        <w:rPr>
          <w:rFonts w:ascii="华文中宋" w:eastAsia="华文中宋" w:hAnsi="华文中宋"/>
          <w:b w:val="0"/>
        </w:rPr>
      </w:pPr>
      <w:bookmarkStart w:id="48" w:name="_Toc423337795"/>
      <w:bookmarkStart w:id="49" w:name="_Toc423337683"/>
      <w:r>
        <w:rPr>
          <w:rFonts w:ascii="华文中宋" w:eastAsia="华文中宋" w:hAnsi="华文中宋" w:hint="eastAsia"/>
          <w:b w:val="0"/>
        </w:rPr>
        <w:t>无形资产</w:t>
      </w:r>
      <w:bookmarkEnd w:id="48"/>
      <w:bookmarkEnd w:id="49"/>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高校应当加强对品牌、商标、专利、专有技术、土地使用权等无形资产的管理，分类制定无形资产管理办法，落实无形资产管理责任制，促进无形资产有效利用，充分发挥无形资产对提升高校核心竞争力的作用。</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全面梳理外购、自行研发以及其他方式取得的各类无形资产的权属关系，加强无形资产权益保护，防范侵权行为和法律风险。无形资产具有保密性质的，应当采取严格保密措施，严防泄露商业秘密。高校购入或者以支付土地出让金等方式取得的土地使用权，应当取得土地使用权有效证明文件。</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高校应当定期对专利、专有技术等无形资产及校名、校誉的使用情况进行清查和规范，切实维护和提升高校的社会认可度。</w:t>
      </w:r>
    </w:p>
    <w:p w:rsidR="00B532E3" w:rsidRDefault="00B532E3" w:rsidP="00984DDA">
      <w:pPr>
        <w:pStyle w:val="Heading2"/>
        <w:numPr>
          <w:ilvl w:val="0"/>
          <w:numId w:val="6"/>
        </w:numPr>
        <w:adjustRightInd w:val="0"/>
        <w:spacing w:beforeLines="100" w:after="0" w:line="240" w:lineRule="auto"/>
        <w:contextualSpacing/>
        <w:jc w:val="center"/>
        <w:rPr>
          <w:rFonts w:ascii="华文中宋" w:eastAsia="华文中宋" w:hAnsi="华文中宋"/>
          <w:b w:val="0"/>
        </w:rPr>
      </w:pPr>
      <w:bookmarkStart w:id="50" w:name="_Toc423337684"/>
      <w:bookmarkStart w:id="51" w:name="_Toc423337796"/>
      <w:r>
        <w:rPr>
          <w:rFonts w:ascii="华文中宋" w:eastAsia="华文中宋" w:hAnsi="华文中宋" w:hint="eastAsia"/>
          <w:b w:val="0"/>
        </w:rPr>
        <w:t>对外投资</w:t>
      </w:r>
      <w:bookmarkEnd w:id="50"/>
      <w:bookmarkEnd w:id="51"/>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对外投资立项与决策环节的控制，审慎选择对外投资项目，组织相关部门或人员对投资建议项目进行分析与论证，对投资项目进行可行性研究及评估，实行集体决策并书面记录。严禁任何个人擅自决定对外投资或者改变集体决策意见。</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对外投资执行控制。制定对外投资实施方案，明确出资时间、金额、出资方式及责任人员等内容。对外投资实施方案及方案的变更，应当经学校最高决策机构审查批准，由其授权人员执行。按规定应当报教育部审批或备案的，应当履行相应程序。</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加强对外投资项目的追踪管理，及时、全面、准确地记录对外投资的价值变动和投资收益。同时加强投资收益的控制，对外投资获取的股利、股息以及其他收益，均应纳入学校财务核算，严禁设置账外账。</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对外投资处置控制。对外投资的收回、转让与核销，应经集体审议批准并按规定权限报批报备。对应收回的对外投资资产，要及时足额收取；转让对外投资应进行评估以合理确定转让价格，并报授权批准部门批准；核销对外投资，应取得因被投资单位破产等原因不能收回投资的法律文书和证明文件。对外投资按规定应当报教育部审批或备案的，应当履行相应程序；处置收入应当上缴国家的，应当及时上缴国库。</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对外投资监管。建立对外投资内部控制的监督检查制度，明确监督检查机构或人员的职责权限，定期或不定期地进行检查。对监督检查过程中发现的问题，应当及时报告，查明原因，采取措施加以纠正和完善。</w:t>
      </w:r>
    </w:p>
    <w:p w:rsidR="00B532E3" w:rsidRDefault="00B532E3">
      <w:pPr>
        <w:pStyle w:val="1"/>
        <w:numPr>
          <w:ilvl w:val="0"/>
          <w:numId w:val="7"/>
        </w:numPr>
        <w:ind w:left="0" w:firstLine="640"/>
        <w:contextualSpacing/>
        <w:rPr>
          <w:rFonts w:ascii="仿宋_GB2312" w:eastAsia="仿宋_GB2312" w:hAnsi="华文中宋"/>
          <w:sz w:val="32"/>
          <w:szCs w:val="30"/>
        </w:rPr>
      </w:pPr>
      <w:bookmarkStart w:id="52" w:name="_Toc422129548"/>
      <w:r>
        <w:rPr>
          <w:rFonts w:ascii="仿宋_GB2312" w:eastAsia="仿宋_GB2312" w:hAnsi="华文中宋" w:hint="eastAsia"/>
          <w:sz w:val="32"/>
          <w:szCs w:val="30"/>
        </w:rPr>
        <w:t>高校应当建立对外投资责任追究制度。对在对外投资中出现重大决策失误、未履行集体决策程序和不按规定执行对外投资业务的部门及人员，追究相应的责任。</w:t>
      </w:r>
    </w:p>
    <w:p w:rsidR="00B532E3" w:rsidRDefault="00B532E3" w:rsidP="00984DDA">
      <w:pPr>
        <w:pStyle w:val="Heading2"/>
        <w:numPr>
          <w:ilvl w:val="0"/>
          <w:numId w:val="6"/>
        </w:numPr>
        <w:adjustRightInd w:val="0"/>
        <w:spacing w:beforeLines="100" w:after="0" w:line="240" w:lineRule="auto"/>
        <w:contextualSpacing/>
        <w:jc w:val="center"/>
        <w:rPr>
          <w:rFonts w:ascii="华文中宋" w:eastAsia="华文中宋" w:hAnsi="华文中宋"/>
          <w:b w:val="0"/>
        </w:rPr>
      </w:pPr>
      <w:bookmarkStart w:id="53" w:name="_Toc423337685"/>
      <w:bookmarkStart w:id="54" w:name="_Toc423337797"/>
      <w:r>
        <w:rPr>
          <w:rFonts w:ascii="华文中宋" w:eastAsia="华文中宋" w:hAnsi="华文中宋" w:hint="eastAsia"/>
          <w:b w:val="0"/>
        </w:rPr>
        <w:t>其他资产</w:t>
      </w:r>
      <w:bookmarkEnd w:id="52"/>
      <w:bookmarkEnd w:id="53"/>
      <w:bookmarkEnd w:id="54"/>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高校原则上应将耗用数量多、价值大的原材料、办公用品、低值易耗品、大宗物资等作为存货管理。明确相关部门和岗位的职责，做到不相容岗位相互分离。规范存货出入库管理流程，防范存货管理风险。</w:t>
      </w:r>
    </w:p>
    <w:p w:rsidR="00B532E3" w:rsidRDefault="00B532E3">
      <w:pPr>
        <w:pStyle w:val="1"/>
        <w:numPr>
          <w:ilvl w:val="0"/>
          <w:numId w:val="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加强应收及预付款的管理，建立严格的授权审批程序，明确相关部门和人员的职责。财务部门应加强应收及预付款项的账龄分析，及时提醒相关部门履行职责。对于逾期三年以上，有确凿证据无法收回的应收及预付款项，按规定的权限和程序报批后予以核销。建立责任追究制度，对到期无法收回的应收及预付款项，严格按制度追究责任。</w:t>
      </w:r>
      <w:r>
        <w:rPr>
          <w:rFonts w:ascii="仿宋_GB2312" w:eastAsia="仿宋_GB2312" w:hAnsi="华文中宋"/>
          <w:sz w:val="32"/>
          <w:szCs w:val="30"/>
        </w:rPr>
        <w:t xml:space="preserve"> </w:t>
      </w:r>
      <w:r>
        <w:rPr>
          <w:rFonts w:ascii="仿宋_GB2312" w:eastAsia="仿宋_GB2312" w:hAnsi="华文中宋"/>
          <w:sz w:val="32"/>
          <w:szCs w:val="30"/>
        </w:rP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55" w:name="_Toc423337798"/>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4</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债务管理</w:t>
      </w:r>
      <w:bookmarkEnd w:id="1"/>
      <w:bookmarkEnd w:id="55"/>
    </w:p>
    <w:p w:rsidR="00B532E3" w:rsidRDefault="00B532E3" w:rsidP="00984DDA">
      <w:pPr>
        <w:pStyle w:val="Heading2"/>
        <w:numPr>
          <w:ilvl w:val="0"/>
          <w:numId w:val="8"/>
        </w:numPr>
        <w:adjustRightInd w:val="0"/>
        <w:spacing w:beforeLines="100" w:after="0" w:line="240" w:lineRule="auto"/>
        <w:contextualSpacing/>
        <w:jc w:val="center"/>
        <w:rPr>
          <w:rFonts w:ascii="华文中宋" w:eastAsia="华文中宋" w:hAnsi="华文中宋"/>
          <w:b w:val="0"/>
        </w:rPr>
      </w:pPr>
      <w:bookmarkStart w:id="56" w:name="_Toc423337799"/>
      <w:bookmarkStart w:id="57" w:name="_Toc423337687"/>
      <w:r>
        <w:rPr>
          <w:rFonts w:ascii="华文中宋" w:eastAsia="华文中宋" w:hAnsi="华文中宋" w:hint="eastAsia"/>
          <w:b w:val="0"/>
        </w:rPr>
        <w:t>总则</w:t>
      </w:r>
      <w:bookmarkEnd w:id="56"/>
      <w:bookmarkEnd w:id="57"/>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本指南所指债务，是指高校向银行等金融机构借入的各类款项，以及高校利用学校资产向非银行金融机构开展融资等活动取得的款项。</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高校所承担的能以货币计量，需要以资产或劳务偿还的应付及预收款项、应缴款项、代管款项等其他债务，以及高校财务账上未反映的、且在未来需支付的工程款项等，不纳入本指南范围。</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高校债务管理应当重点关注下列风险：</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（一）债务的举借和偿还未进行充分论证和风险评估，未经学校领导班子集体研究决定，可能导致筹资决策不当、筹资成本过高或偿债压力过大。</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（二）债务的举借和偿还与高校事业发展规划、中期财务规划不衔接，资金未按审批用途使用，可能融资成本过高或资金使用效益低下。</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（三）债务管理岗位职责不明确，未能定期核对和检查债务，及时还本付息，可能导致学校承担额外的付款义务。</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（四）债务业务未能及时登记入账，无法全面、如实反映高校财务风险。</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财务风险控制机制和财务预警系统，妥善处理存量债务和新举债务的关系，严格履行审批程序，严格按照借入资金的拟定用途使用，及时对账、检查和清理，保证各项债务在规定期限内偿还，严防发生债务违约。</w:t>
      </w:r>
    </w:p>
    <w:p w:rsidR="00B532E3" w:rsidRDefault="00B532E3" w:rsidP="00984DDA">
      <w:pPr>
        <w:pStyle w:val="Heading2"/>
        <w:numPr>
          <w:ilvl w:val="0"/>
          <w:numId w:val="8"/>
        </w:numPr>
        <w:adjustRightInd w:val="0"/>
        <w:spacing w:beforeLines="100" w:after="0" w:line="240" w:lineRule="auto"/>
        <w:contextualSpacing/>
        <w:jc w:val="center"/>
        <w:rPr>
          <w:rFonts w:ascii="华文中宋" w:eastAsia="华文中宋" w:hAnsi="华文中宋"/>
          <w:b w:val="0"/>
        </w:rPr>
      </w:pPr>
      <w:bookmarkStart w:id="58" w:name="_Toc423337800"/>
      <w:bookmarkStart w:id="59" w:name="_Toc423337688"/>
      <w:r>
        <w:rPr>
          <w:rFonts w:ascii="华文中宋" w:eastAsia="华文中宋" w:hAnsi="华文中宋" w:hint="eastAsia"/>
          <w:b w:val="0"/>
        </w:rPr>
        <w:t>岗位设置</w:t>
      </w:r>
      <w:bookmarkEnd w:id="58"/>
      <w:bookmarkEnd w:id="59"/>
      <w:r>
        <w:rPr>
          <w:rFonts w:ascii="华文中宋" w:eastAsia="华文中宋" w:hAnsi="华文中宋" w:hint="eastAsia"/>
          <w:b w:val="0"/>
        </w:rPr>
        <w:t>和职责</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高校应当建立健全与债务相关的决策机制。拟筹资项目的建设方案（含用款计划）、筹资方案和还本付息方案等需经学校集体决策批准后，按规定程序报教育部和财政部核准。</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高校应当明确债务业务归口管理部门，分别负责拟筹资项目的建设方案（含用款计划）、筹资方案和还本付息方案的起草和可行性论证以及债务的举借和归还。涉及合同签订的，还应按照《应用指南第</w:t>
      </w:r>
      <w:r>
        <w:rPr>
          <w:rFonts w:ascii="仿宋_GB2312" w:eastAsia="仿宋_GB2312" w:hAnsi="华文中宋"/>
          <w:sz w:val="32"/>
          <w:szCs w:val="30"/>
        </w:rPr>
        <w:t>7</w:t>
      </w:r>
      <w:r>
        <w:rPr>
          <w:rFonts w:ascii="仿宋_GB2312" w:eastAsia="仿宋_GB2312" w:hAnsi="华文中宋" w:hint="eastAsia"/>
          <w:sz w:val="32"/>
          <w:szCs w:val="30"/>
        </w:rPr>
        <w:t>号</w:t>
      </w:r>
      <w:r>
        <w:rPr>
          <w:rFonts w:ascii="仿宋_GB2312" w:eastAsia="仿宋_GB2312" w:hAnsi="华文中宋"/>
          <w:sz w:val="32"/>
          <w:szCs w:val="30"/>
        </w:rPr>
        <w:t>-</w:t>
      </w:r>
      <w:r>
        <w:rPr>
          <w:rFonts w:ascii="仿宋_GB2312" w:eastAsia="仿宋_GB2312" w:hAnsi="华文中宋" w:hint="eastAsia"/>
          <w:sz w:val="32"/>
          <w:szCs w:val="30"/>
        </w:rPr>
        <w:t>合同管理》执行。</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高校应当设置岗位分别负责债务核算和债务清理，两者为不相容岗位。</w:t>
      </w:r>
    </w:p>
    <w:p w:rsidR="00B532E3" w:rsidRDefault="00B532E3" w:rsidP="00984DDA">
      <w:pPr>
        <w:pStyle w:val="Heading2"/>
        <w:numPr>
          <w:ilvl w:val="0"/>
          <w:numId w:val="8"/>
        </w:numPr>
        <w:adjustRightInd w:val="0"/>
        <w:spacing w:beforeLines="100" w:after="0" w:line="240" w:lineRule="auto"/>
        <w:contextualSpacing/>
        <w:jc w:val="center"/>
        <w:rPr>
          <w:rFonts w:ascii="华文中宋" w:eastAsia="华文中宋" w:hAnsi="华文中宋"/>
          <w:b w:val="0"/>
        </w:rPr>
      </w:pPr>
      <w:bookmarkStart w:id="60" w:name="_Toc423337801"/>
      <w:bookmarkStart w:id="61" w:name="_Toc423337689"/>
      <w:r>
        <w:rPr>
          <w:rFonts w:ascii="华文中宋" w:eastAsia="华文中宋" w:hAnsi="华文中宋" w:hint="eastAsia"/>
          <w:b w:val="0"/>
        </w:rPr>
        <w:t>债务的形成</w:t>
      </w:r>
      <w:bookmarkEnd w:id="60"/>
      <w:bookmarkEnd w:id="61"/>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高校应当在对拟筹资项目的可行性进行充分论证的基础上，严格审核筹资方案和还本付息方案，评估学校的偿债能力和财务风险控制水平。</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筹资方案发生重大变更的，应当重新进行可行性研究并履行相应审批程序。</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高校应当在批准的筹资方案内，结合建设项目用款需求，确定具体借款时点和金额，严格按照规定使用借款资金。</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高校应当与银行等金融机构进行洽谈，明确相关的权利义务和违约责任等内容，并签署借款合同，依合同办理相关借款业务。</w:t>
      </w:r>
    </w:p>
    <w:p w:rsidR="00B532E3" w:rsidRDefault="00B532E3" w:rsidP="00984DDA">
      <w:pPr>
        <w:pStyle w:val="Heading2"/>
        <w:numPr>
          <w:ilvl w:val="0"/>
          <w:numId w:val="8"/>
        </w:numPr>
        <w:adjustRightInd w:val="0"/>
        <w:spacing w:beforeLines="100" w:after="0" w:line="240" w:lineRule="auto"/>
        <w:contextualSpacing/>
        <w:jc w:val="center"/>
        <w:rPr>
          <w:rFonts w:ascii="华文中宋" w:eastAsia="华文中宋" w:hAnsi="华文中宋"/>
          <w:b w:val="0"/>
        </w:rPr>
      </w:pPr>
      <w:bookmarkStart w:id="62" w:name="_Toc423337802"/>
      <w:bookmarkStart w:id="63" w:name="_Toc423337690"/>
      <w:r>
        <w:rPr>
          <w:rFonts w:ascii="华文中宋" w:eastAsia="华文中宋" w:hAnsi="华文中宋" w:hint="eastAsia"/>
          <w:b w:val="0"/>
        </w:rPr>
        <w:t>债务的</w:t>
      </w:r>
      <w:bookmarkEnd w:id="62"/>
      <w:bookmarkEnd w:id="63"/>
      <w:r>
        <w:rPr>
          <w:rFonts w:ascii="华文中宋" w:eastAsia="华文中宋" w:hAnsi="华文中宋" w:hint="eastAsia"/>
          <w:b w:val="0"/>
        </w:rPr>
        <w:t>使用与偿还</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高校应当及时确认债务，分类登记入账，如实反映债务情况。</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高校应当严格按照审批用途使用资金，防范和控制资金使用风险。</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高校应当按照筹资方案或合同约定的本金、利率、期限、汇率及币种，准确计算并按时还本付息。</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高校应加强债务偿还管理，对偿还本息等作出适当安排，设立还本付息准备金，在贷款期限内每年安排还本付息准备金，用于到期偿还贷款本息。确实无法偿付的，应及时登记入账。</w:t>
      </w:r>
    </w:p>
    <w:p w:rsidR="00B532E3" w:rsidRDefault="00B532E3" w:rsidP="00984DDA">
      <w:pPr>
        <w:pStyle w:val="Heading2"/>
        <w:numPr>
          <w:ilvl w:val="0"/>
          <w:numId w:val="8"/>
        </w:numPr>
        <w:adjustRightInd w:val="0"/>
        <w:spacing w:beforeLines="100" w:after="0" w:line="240" w:lineRule="auto"/>
        <w:contextualSpacing/>
        <w:jc w:val="center"/>
        <w:rPr>
          <w:rFonts w:ascii="华文中宋" w:eastAsia="华文中宋" w:hAnsi="华文中宋"/>
          <w:b w:val="0"/>
        </w:rPr>
      </w:pPr>
      <w:bookmarkStart w:id="64" w:name="_Toc423337803"/>
      <w:bookmarkStart w:id="65" w:name="_Toc423337691"/>
      <w:r>
        <w:rPr>
          <w:rFonts w:ascii="华文中宋" w:eastAsia="华文中宋" w:hAnsi="华文中宋" w:hint="eastAsia"/>
          <w:b w:val="0"/>
        </w:rPr>
        <w:t>债务的清理和档案保管</w:t>
      </w:r>
      <w:bookmarkEnd w:id="64"/>
      <w:bookmarkEnd w:id="65"/>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高校应当加强债务的对账和检查控制，定期与债权人核对债务余额。</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高校应当建立债务统计台账，构建债务基本情况动态数据库，实时反映债务信息。</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高校应当加强对债务业务的记录控制，妥善保管借款合同、收款凭证、还款凭证等资料，及时整理归档。</w:t>
      </w:r>
    </w:p>
    <w:p w:rsidR="00B532E3" w:rsidRDefault="00B532E3">
      <w:pPr>
        <w:pStyle w:val="1"/>
        <w:numPr>
          <w:ilvl w:val="0"/>
          <w:numId w:val="9"/>
        </w:numPr>
        <w:ind w:left="0" w:firstLine="640"/>
        <w:contextualSpacing/>
        <w:rPr>
          <w:rFonts w:ascii="仿宋_GB2312" w:eastAsia="仿宋_GB2312" w:hAnsi="华文中宋"/>
          <w:sz w:val="32"/>
          <w:szCs w:val="30"/>
        </w:rPr>
      </w:pPr>
      <w:r>
        <w:rPr>
          <w:rFonts w:ascii="仿宋_GB2312" w:eastAsia="仿宋_GB2312" w:hAnsi="华文中宋"/>
          <w:sz w:val="32"/>
          <w:szCs w:val="30"/>
        </w:rP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66" w:name="_Toc422391712"/>
      <w:bookmarkStart w:id="67" w:name="_Toc423337804"/>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5</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收入</w:t>
      </w:r>
      <w:bookmarkEnd w:id="66"/>
      <w:r>
        <w:rPr>
          <w:rFonts w:ascii="华文中宋" w:eastAsia="华文中宋" w:hAnsi="华文中宋" w:cs="宋体" w:hint="eastAsia"/>
          <w:kern w:val="0"/>
          <w:sz w:val="32"/>
          <w:szCs w:val="32"/>
        </w:rPr>
        <w:t>管理</w:t>
      </w:r>
      <w:bookmarkEnd w:id="67"/>
    </w:p>
    <w:p w:rsidR="00B532E3" w:rsidRDefault="00B532E3" w:rsidP="00984DDA">
      <w:pPr>
        <w:pStyle w:val="Heading2"/>
        <w:numPr>
          <w:ilvl w:val="0"/>
          <w:numId w:val="10"/>
        </w:numPr>
        <w:adjustRightInd w:val="0"/>
        <w:spacing w:beforeLines="100" w:after="0" w:line="240" w:lineRule="auto"/>
        <w:contextualSpacing/>
        <w:jc w:val="center"/>
        <w:rPr>
          <w:rFonts w:ascii="华文中宋" w:eastAsia="华文中宋" w:hAnsi="华文中宋"/>
          <w:b w:val="0"/>
        </w:rPr>
      </w:pPr>
      <w:bookmarkStart w:id="68" w:name="_Toc423337805"/>
      <w:bookmarkStart w:id="69" w:name="_Toc423337693"/>
      <w:r>
        <w:rPr>
          <w:rFonts w:ascii="华文中宋" w:eastAsia="华文中宋" w:hAnsi="华文中宋" w:hint="eastAsia"/>
          <w:b w:val="0"/>
        </w:rPr>
        <w:t>总</w:t>
      </w:r>
      <w:r>
        <w:rPr>
          <w:rFonts w:ascii="华文中宋" w:eastAsia="华文中宋" w:hAnsi="华文中宋"/>
          <w:b w:val="0"/>
        </w:rPr>
        <w:t xml:space="preserve">  </w:t>
      </w:r>
      <w:r>
        <w:rPr>
          <w:rFonts w:ascii="华文中宋" w:eastAsia="华文中宋" w:hAnsi="华文中宋" w:hint="eastAsia"/>
          <w:b w:val="0"/>
        </w:rPr>
        <w:t>则</w:t>
      </w:r>
      <w:bookmarkEnd w:id="68"/>
      <w:bookmarkEnd w:id="69"/>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本指南所指收入，是指高校为开展教学、科研及其他活动依法取得的各项非偿还性资金，包括财政补助收入、事业收入、上级补助收入、附属单位上缴收入、经营收入和其他收入。</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高校收入管理应当重点关注下列风险：</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（一）收入业务未归口财务部门统一收取及集中核算，相关收入合同未及时提交财务部门，票据、印章管理制度不严，可能导致高校收入应收未收、收入金额不实、或者存在私设“小金库”的情形。</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（二）违反规定擅自增设收费项目、提高收费标准或扩大收费对象，导致发生违规收费收入。</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（三）未按规定及时上缴各类非税收入，可能导致违规截留、挤占、挪用各类非税收入。</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（四）收入核算不规范，收入长期挂账，未及时、准确地确认为收入，导致学校收入不完整、不真实。</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（五）收入业务相关岗位设置不合理，不相容岗位未实现相互分离，可能导致发生错误或产生舞弊。</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加强收入管理，建立健全收入管理制度，严格按照国家有关规定合法合规地组织收入；各项收费应严格执行国家规定的收费范围和标准；各项收入应全部纳入财务部门统一核算与管理；按规定及时足额上缴各类应缴国库或财政专户的资金；应定期或不定期地检查收入实现情况，建立收入管理责任追究制度，确保各项收入应收尽收。</w:t>
      </w:r>
    </w:p>
    <w:p w:rsidR="00B532E3" w:rsidRDefault="00B532E3" w:rsidP="00984DDA">
      <w:pPr>
        <w:pStyle w:val="Heading2"/>
        <w:numPr>
          <w:ilvl w:val="0"/>
          <w:numId w:val="10"/>
        </w:numPr>
        <w:adjustRightInd w:val="0"/>
        <w:spacing w:beforeLines="100" w:after="0" w:line="240" w:lineRule="auto"/>
        <w:contextualSpacing/>
        <w:jc w:val="center"/>
        <w:rPr>
          <w:rFonts w:ascii="华文中宋" w:eastAsia="华文中宋" w:hAnsi="华文中宋"/>
          <w:b w:val="0"/>
        </w:rPr>
      </w:pPr>
      <w:bookmarkStart w:id="70" w:name="_Toc423337806"/>
      <w:bookmarkStart w:id="71" w:name="_Toc423337694"/>
      <w:r>
        <w:rPr>
          <w:rFonts w:ascii="华文中宋" w:eastAsia="华文中宋" w:hAnsi="华文中宋" w:hint="eastAsia"/>
          <w:b w:val="0"/>
        </w:rPr>
        <w:t>岗位设置和职责</w:t>
      </w:r>
      <w:bookmarkEnd w:id="70"/>
      <w:bookmarkEnd w:id="71"/>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高校应当建立健全与收入相关的管理机制和监督检查制度，确定收入归口管理部门和收入执收主体，明确各自职责、分工和权限。</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财务部门作为收入归口管理部门，负责收费项目立项与标准核定、收入确认、收入核算与结算分配、收款和票据管理等工作。高校其他业务部门作为收入执收主体，负责根据财务部门批准的收费项目与标准收费，及时向财务部门递交相关收入业务合同，按时完成各项收入预算等。</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高校的收款与收费审查、收入核算、结算分配等岗位，收费审查和监督与收入核算、结算分配等岗位，票据管理与收入核算、结算分配等岗位为不相容岗位，应分别设置并相互分离，以形成相互制衡机制。</w:t>
      </w:r>
    </w:p>
    <w:p w:rsidR="00B532E3" w:rsidRDefault="00B532E3" w:rsidP="00984DDA">
      <w:pPr>
        <w:pStyle w:val="Heading2"/>
        <w:numPr>
          <w:ilvl w:val="0"/>
          <w:numId w:val="10"/>
        </w:numPr>
        <w:adjustRightInd w:val="0"/>
        <w:spacing w:beforeLines="100" w:after="0" w:line="240" w:lineRule="auto"/>
        <w:contextualSpacing/>
        <w:jc w:val="center"/>
        <w:rPr>
          <w:rFonts w:ascii="华文中宋" w:eastAsia="华文中宋" w:hAnsi="华文中宋"/>
          <w:b w:val="0"/>
        </w:rPr>
      </w:pPr>
      <w:bookmarkStart w:id="72" w:name="_Toc423337807"/>
      <w:bookmarkStart w:id="73" w:name="_Toc423337695"/>
      <w:r>
        <w:rPr>
          <w:rFonts w:ascii="华文中宋" w:eastAsia="华文中宋" w:hAnsi="华文中宋" w:hint="eastAsia"/>
          <w:b w:val="0"/>
        </w:rPr>
        <w:t>收入的</w:t>
      </w:r>
      <w:bookmarkEnd w:id="72"/>
      <w:bookmarkEnd w:id="73"/>
      <w:r>
        <w:rPr>
          <w:rFonts w:ascii="华文中宋" w:eastAsia="华文中宋" w:hAnsi="华文中宋" w:hint="eastAsia"/>
          <w:b w:val="0"/>
        </w:rPr>
        <w:t>管理</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高校各项收入的取得应符合国家有关法律、法规和政策规定。具体的收入项目、范围与标准，应根据政府部门的文件、项目立项任务书、经济合同等确定。</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高校的各项收入都要纳入学校预算管理，收入款项必须全额进入学校规定的银行账户，实行统一管理，统一核算，做到全面、真实、准确。</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各类非税收入管理。严格按照规定的收费项目和标准收费，按照规定开具财政票据。所收取的各类非税收入，应当及时、足额上缴国库或财政专户，做到收缴分离、票款一致，不得以任何形式截留、挪用或者私分。</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各业务部门应当严格按照合同管理要求签订合同，并在签订涉及收入的合同协议后，及时将合同等有关材料提交财务部门作为取得收入及账务处理依据，确保各项收入应收尽收、及时入账。财务部门应当定期检查收入金额是否与合同约定相符；对应收未收项目应查明情况，明确责任主体，落实催收责任。</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高校应当建立健全收入退付管理制度。将收取的款项退回交款单位或个人时，应当严格执行相应的审批程序。</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高校不得“以收抵支”，严禁设立账外账，严禁以个人名义取得学校收入。</w:t>
      </w:r>
    </w:p>
    <w:p w:rsidR="00B532E3" w:rsidRDefault="00B532E3" w:rsidP="00984DDA">
      <w:pPr>
        <w:pStyle w:val="Heading2"/>
        <w:numPr>
          <w:ilvl w:val="0"/>
          <w:numId w:val="10"/>
        </w:numPr>
        <w:adjustRightInd w:val="0"/>
        <w:spacing w:beforeLines="100" w:after="0" w:line="240" w:lineRule="auto"/>
        <w:contextualSpacing/>
        <w:jc w:val="center"/>
        <w:rPr>
          <w:rFonts w:ascii="华文中宋" w:eastAsia="华文中宋" w:hAnsi="华文中宋"/>
          <w:b w:val="0"/>
        </w:rPr>
      </w:pPr>
      <w:bookmarkStart w:id="74" w:name="_Toc423337809"/>
      <w:bookmarkStart w:id="75" w:name="_Toc423337697"/>
      <w:r>
        <w:rPr>
          <w:rFonts w:ascii="华文中宋" w:eastAsia="华文中宋" w:hAnsi="华文中宋" w:hint="eastAsia"/>
          <w:b w:val="0"/>
        </w:rPr>
        <w:t>收入票据管理</w:t>
      </w:r>
      <w:bookmarkEnd w:id="74"/>
      <w:bookmarkEnd w:id="75"/>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高校应建立健全收入票据管理制度。明确规定财政票据、税务发票等各类收入票据的使用范围，及其申领、启用、保管、核销、销毁应履行的手续。</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高校不得违反规定转让、出借、代开、买卖财政票据、税务发票等收入票据，不得擅自扩大票据使用范围，不得开具虚假票据。不得超范围出具票据或重复开具票据。</w:t>
      </w:r>
    </w:p>
    <w:p w:rsidR="00B532E3" w:rsidRDefault="00B532E3">
      <w:pPr>
        <w:pStyle w:val="1"/>
        <w:numPr>
          <w:ilvl w:val="0"/>
          <w:numId w:val="11"/>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健全收入票据管理制度，明确规定收入票据保管、登记、使用和检查的责任。对收入票据实行专人、专账、专柜管理。票据专管人员应配置单独的保险柜等保管设备，并做到人走柜锁，建立票据台账，做好票据的保管和序时登记工作。</w:t>
      </w:r>
    </w:p>
    <w:p w:rsidR="00B532E3" w:rsidRDefault="00B532E3">
      <w:pPr>
        <w:widowControl/>
        <w:jc w:val="left"/>
        <w:rPr>
          <w:rFonts w:ascii="仿宋_GB2312" w:eastAsia="仿宋_GB2312" w:hAnsi="黑体"/>
          <w:b/>
          <w:bCs/>
          <w:kern w:val="44"/>
          <w:sz w:val="32"/>
          <w:szCs w:val="32"/>
        </w:rPr>
      </w:pPr>
      <w:r>
        <w:rPr>
          <w:rFonts w:ascii="仿宋_GB2312" w:eastAsia="仿宋_GB2312" w:hAnsi="黑体"/>
          <w:sz w:val="32"/>
          <w:szCs w:val="32"/>
        </w:rP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76" w:name="_Toc423337810"/>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6</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支出</w:t>
      </w:r>
      <w:bookmarkEnd w:id="2"/>
      <w:r>
        <w:rPr>
          <w:rFonts w:ascii="华文中宋" w:eastAsia="华文中宋" w:hAnsi="华文中宋" w:cs="宋体" w:hint="eastAsia"/>
          <w:kern w:val="0"/>
          <w:sz w:val="32"/>
          <w:szCs w:val="32"/>
        </w:rPr>
        <w:t>管理</w:t>
      </w:r>
      <w:bookmarkEnd w:id="76"/>
    </w:p>
    <w:p w:rsidR="00B532E3" w:rsidRDefault="00B532E3" w:rsidP="00984DDA">
      <w:pPr>
        <w:pStyle w:val="Heading2"/>
        <w:numPr>
          <w:ilvl w:val="0"/>
          <w:numId w:val="12"/>
        </w:numPr>
        <w:adjustRightInd w:val="0"/>
        <w:spacing w:beforeLines="100" w:after="0" w:line="240" w:lineRule="auto"/>
        <w:contextualSpacing/>
        <w:jc w:val="center"/>
        <w:rPr>
          <w:rFonts w:ascii="华文中宋" w:eastAsia="华文中宋" w:hAnsi="华文中宋"/>
          <w:b w:val="0"/>
        </w:rPr>
      </w:pPr>
      <w:bookmarkStart w:id="77" w:name="_Toc423337699"/>
      <w:bookmarkStart w:id="78" w:name="_Toc423337811"/>
      <w:r>
        <w:rPr>
          <w:rFonts w:ascii="华文中宋" w:eastAsia="华文中宋" w:hAnsi="华文中宋" w:hint="eastAsia"/>
          <w:b w:val="0"/>
        </w:rPr>
        <w:t>总则</w:t>
      </w:r>
      <w:bookmarkEnd w:id="77"/>
      <w:bookmarkEnd w:id="78"/>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本指南所指支出，是指高校开展教学、科研及其他活动发生的资金耗费和损失。</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高校支出管理应当重点关注下列风险：</w:t>
      </w:r>
      <w:r>
        <w:rPr>
          <w:rFonts w:ascii="仿宋_GB2312" w:eastAsia="仿宋_GB2312" w:hAnsi="华文中宋"/>
          <w:sz w:val="32"/>
          <w:szCs w:val="30"/>
        </w:rPr>
        <w:t xml:space="preserve"> </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（一）支出业务未纳入预算或超过预算规定的范围、标准，可能导致经费滥用或无效使用。</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（二）支出授权审批制度不完善，重大项目和大额资金支出未履行集体决策程序，可能导致资金损失或浪费。</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（三）业务经办人未提供真实、合法票据，或提供的票据与实际业务不符，可能导致资金被套取或浪费。</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（四）财务报销审核不严格，支付控制不到位，可能导致资金损失或浪费，</w:t>
      </w:r>
      <w:r>
        <w:rPr>
          <w:rFonts w:ascii="仿宋_GB2312" w:eastAsia="仿宋_GB2312" w:hAnsi="华文中宋" w:hint="eastAsia"/>
          <w:sz w:val="32"/>
          <w:szCs w:val="30"/>
        </w:rPr>
        <w:t>或者出现私设“小金库”的情形</w:t>
      </w:r>
      <w:r>
        <w:rPr>
          <w:rFonts w:ascii="仿宋_GB2312" w:eastAsia="仿宋_GB2312" w:hAnsi="仿宋" w:hint="eastAsia"/>
          <w:sz w:val="32"/>
          <w:szCs w:val="32"/>
        </w:rPr>
        <w:t>。</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（五）应收或预付款长期挂账未清理，可能导致支出不真实、不完整。</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支出管理制度，明确各项支出的开支范围和开支标准；合理设置相关岗位，明确支出审批权限；规范和加强支出管理，确保支出内容真实合规，票据来源合法、使用正确，严格执行国库集中支付制度和政府采购制度等有关规定；防止并及时发现、纠正错误及舞弊行为。</w:t>
      </w:r>
    </w:p>
    <w:p w:rsidR="00B532E3" w:rsidRDefault="00B532E3" w:rsidP="00984DDA">
      <w:pPr>
        <w:pStyle w:val="Heading2"/>
        <w:numPr>
          <w:ilvl w:val="0"/>
          <w:numId w:val="12"/>
        </w:numPr>
        <w:adjustRightInd w:val="0"/>
        <w:spacing w:beforeLines="100" w:after="0" w:line="240" w:lineRule="auto"/>
        <w:contextualSpacing/>
        <w:jc w:val="center"/>
        <w:rPr>
          <w:rFonts w:ascii="华文中宋" w:eastAsia="华文中宋" w:hAnsi="华文中宋"/>
          <w:b w:val="0"/>
        </w:rPr>
      </w:pPr>
      <w:bookmarkStart w:id="79" w:name="_Toc423337700"/>
      <w:bookmarkStart w:id="80" w:name="_Toc423337812"/>
      <w:r>
        <w:rPr>
          <w:rFonts w:ascii="华文中宋" w:eastAsia="华文中宋" w:hAnsi="华文中宋" w:hint="eastAsia"/>
          <w:b w:val="0"/>
        </w:rPr>
        <w:t>岗位设置</w:t>
      </w:r>
      <w:bookmarkEnd w:id="79"/>
      <w:bookmarkEnd w:id="80"/>
      <w:r>
        <w:rPr>
          <w:rFonts w:ascii="华文中宋" w:eastAsia="华文中宋" w:hAnsi="华文中宋" w:hint="eastAsia"/>
          <w:b w:val="0"/>
        </w:rPr>
        <w:t>和职责</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高校应当建立健全与支出相关的决策、审批与监督机制。年度支出预算、重大项目和大额资金使用等应按规定权限履行审批程序。</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发生支出业务的部门或项目组为支出归口管理单位，支出归口管理单位负责人对本部门（或项目）经费的使用和管理负责。支出归口管理单位应当根据事业发展规划、项目任务书等编制支出预算；严格按批准的预算使用资金，确保预算执行进度与业务开展进度相匹配；及时报告特殊支出事项，按规定编制经费决算。</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高校财务部门应合理设置审核、复核和出纳等岗位。根据管理需要，也可设置会计稽核岗位。</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支出申请和内部审批、付款审批和付款执行、业务经办和会计审核、会计审核和会计复核、会计复核和会计稽核等为不相容岗位。</w:t>
      </w:r>
    </w:p>
    <w:p w:rsidR="00B532E3" w:rsidRDefault="00B532E3" w:rsidP="00984DDA">
      <w:pPr>
        <w:pStyle w:val="Heading2"/>
        <w:numPr>
          <w:ilvl w:val="0"/>
          <w:numId w:val="12"/>
        </w:numPr>
        <w:adjustRightInd w:val="0"/>
        <w:spacing w:beforeLines="100" w:after="0" w:line="240" w:lineRule="auto"/>
        <w:contextualSpacing/>
        <w:jc w:val="center"/>
        <w:rPr>
          <w:rFonts w:ascii="华文中宋" w:eastAsia="华文中宋" w:hAnsi="华文中宋"/>
          <w:b w:val="0"/>
        </w:rPr>
      </w:pPr>
      <w:bookmarkStart w:id="81" w:name="_Toc423337813"/>
      <w:bookmarkStart w:id="82" w:name="_Toc423337701"/>
      <w:r>
        <w:rPr>
          <w:rFonts w:ascii="华文中宋" w:eastAsia="华文中宋" w:hAnsi="华文中宋" w:hint="eastAsia"/>
          <w:b w:val="0"/>
        </w:rPr>
        <w:t>审批</w:t>
      </w:r>
      <w:bookmarkEnd w:id="81"/>
      <w:bookmarkEnd w:id="82"/>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高校应当建立健全各级单位支出的内部审批权限、程序、责任和相关控制措施。重大财务决策、重要项目资金安排和大额资金的使用，必须实施集体决策。</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各级审批人应当在授权范围内审批，不得越权审批。根据需要可在财务负责人签字批准前设立业务负责人审签制度。在项目负责人为业务负责人或经办人时，实行复签制度。</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高校应当设立大额资金分级审批制度，根据支付金额大小分别由各级财务人员、总会计师（分管财务工作校领导）、校长审批确认。</w:t>
      </w:r>
    </w:p>
    <w:p w:rsidR="00B532E3" w:rsidRDefault="00B532E3" w:rsidP="00984DDA">
      <w:pPr>
        <w:pStyle w:val="Heading2"/>
        <w:numPr>
          <w:ilvl w:val="0"/>
          <w:numId w:val="12"/>
        </w:numPr>
        <w:adjustRightInd w:val="0"/>
        <w:spacing w:beforeLines="100" w:after="0" w:line="240" w:lineRule="auto"/>
        <w:contextualSpacing/>
        <w:jc w:val="center"/>
        <w:rPr>
          <w:rFonts w:ascii="华文中宋" w:eastAsia="华文中宋" w:hAnsi="华文中宋"/>
          <w:b w:val="0"/>
        </w:rPr>
      </w:pPr>
      <w:bookmarkStart w:id="83" w:name="_Toc423337702"/>
      <w:bookmarkStart w:id="84" w:name="_Toc423337814"/>
      <w:r>
        <w:rPr>
          <w:rFonts w:ascii="华文中宋" w:eastAsia="华文中宋" w:hAnsi="华文中宋" w:hint="eastAsia"/>
          <w:b w:val="0"/>
        </w:rPr>
        <w:t>审核</w:t>
      </w:r>
      <w:bookmarkEnd w:id="83"/>
      <w:bookmarkEnd w:id="84"/>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高校应当全面审核支出业务。重点审核支出事项是否纳入预算，是否与预算相符，是否超出开支范围或开支标准等，是否按规定履行审批程序等。</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和规范支出业务涉及的各类单据的审核。重点审核单据来源是否合法，内容是否真实、完整，使用是否准确，签章是否齐全、完整，是否能够如实反映经济活动，是否存在使用虚假票据套取资金等情形。发现虚假发票的，应查明原因，根据情节轻重及时报告处理。</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高校应当对超出规定标准的支出事项进行重点审查，确因业务开展需要必须发生的，应由经办人员书面说明原因并按规定办理审批手续。</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高校应当明确界定各项经济活动所涉及的表单、票据和合同协议等，要求相关人员按照规定填制、审核、归档和保管，与支出业务相关的合同等材料应当及时提交财务部门作为账务处理依据。</w:t>
      </w:r>
    </w:p>
    <w:p w:rsidR="00B532E3" w:rsidRDefault="00B532E3" w:rsidP="00984DDA">
      <w:pPr>
        <w:pStyle w:val="Heading2"/>
        <w:numPr>
          <w:ilvl w:val="0"/>
          <w:numId w:val="12"/>
        </w:numPr>
        <w:adjustRightInd w:val="0"/>
        <w:spacing w:beforeLines="100" w:after="0" w:line="240" w:lineRule="auto"/>
        <w:contextualSpacing/>
        <w:jc w:val="center"/>
        <w:rPr>
          <w:rFonts w:ascii="华文中宋" w:eastAsia="华文中宋" w:hAnsi="华文中宋"/>
          <w:b w:val="0"/>
        </w:rPr>
      </w:pPr>
      <w:bookmarkStart w:id="85" w:name="_Toc423337703"/>
      <w:bookmarkStart w:id="86" w:name="_Toc423337815"/>
      <w:r>
        <w:rPr>
          <w:rFonts w:ascii="华文中宋" w:eastAsia="华文中宋" w:hAnsi="华文中宋" w:hint="eastAsia"/>
          <w:b w:val="0"/>
        </w:rPr>
        <w:t>支付</w:t>
      </w:r>
      <w:bookmarkEnd w:id="85"/>
      <w:bookmarkEnd w:id="86"/>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高校应当完善付款流程，明确付款审核人的责任和权力，加强付款的管理。</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高校支付款项时应核实使用资金的类型，正确选用支付方式并规范使用。应当严格按规定范围使用现金结算，严格执行公务卡结算制度和国库集中支付制度。</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高校应当对已经签发的支付凭证及时、准确进行登记。</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高校应当重视工程、设备采购付款的过程控制和跟踪管理，发现异常情况的，应当拒绝付款，避免出现资金损失。</w:t>
      </w:r>
    </w:p>
    <w:p w:rsidR="00B532E3" w:rsidRDefault="00B532E3" w:rsidP="00984DDA">
      <w:pPr>
        <w:pStyle w:val="Heading2"/>
        <w:numPr>
          <w:ilvl w:val="0"/>
          <w:numId w:val="12"/>
        </w:numPr>
        <w:adjustRightInd w:val="0"/>
        <w:spacing w:beforeLines="100" w:after="0" w:line="240" w:lineRule="auto"/>
        <w:contextualSpacing/>
        <w:jc w:val="center"/>
        <w:rPr>
          <w:rFonts w:ascii="华文中宋" w:eastAsia="华文中宋" w:hAnsi="华文中宋"/>
          <w:b w:val="0"/>
        </w:rPr>
      </w:pPr>
      <w:bookmarkStart w:id="87" w:name="_Toc423337704"/>
      <w:bookmarkStart w:id="88" w:name="_Toc423337816"/>
      <w:r>
        <w:rPr>
          <w:rFonts w:ascii="华文中宋" w:eastAsia="华文中宋" w:hAnsi="华文中宋" w:hint="eastAsia"/>
          <w:b w:val="0"/>
        </w:rPr>
        <w:t>核算和归档</w:t>
      </w:r>
      <w:bookmarkEnd w:id="87"/>
      <w:bookmarkEnd w:id="88"/>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高校应当按照会计制度将支出事项准确、及时地进行确认和计量。</w:t>
      </w:r>
    </w:p>
    <w:p w:rsidR="00B532E3" w:rsidRDefault="00B532E3">
      <w:pPr>
        <w:pStyle w:val="1"/>
        <w:numPr>
          <w:ilvl w:val="0"/>
          <w:numId w:val="1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高校应当妥善保管支出业务相关合同或协议、付款凭证等票据，及时整理装订成册归档。</w:t>
      </w:r>
      <w:r>
        <w:rPr>
          <w:rFonts w:ascii="仿宋_GB2312" w:eastAsia="仿宋_GB2312" w:hAnsi="华文中宋"/>
          <w:sz w:val="32"/>
          <w:szCs w:val="30"/>
        </w:rP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89" w:name="_Toc423337817"/>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7</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合同管理</w:t>
      </w:r>
      <w:bookmarkEnd w:id="3"/>
      <w:bookmarkEnd w:id="89"/>
    </w:p>
    <w:p w:rsidR="00B532E3" w:rsidRDefault="00B532E3" w:rsidP="00984DDA">
      <w:pPr>
        <w:pStyle w:val="Heading2"/>
        <w:numPr>
          <w:ilvl w:val="0"/>
          <w:numId w:val="14"/>
        </w:numPr>
        <w:adjustRightInd w:val="0"/>
        <w:spacing w:beforeLines="100" w:after="0" w:line="240" w:lineRule="auto"/>
        <w:contextualSpacing/>
        <w:jc w:val="center"/>
        <w:rPr>
          <w:rFonts w:ascii="华文中宋" w:eastAsia="华文中宋" w:hAnsi="华文中宋"/>
          <w:b w:val="0"/>
        </w:rPr>
      </w:pPr>
      <w:bookmarkStart w:id="90" w:name="_Toc423337706"/>
      <w:bookmarkStart w:id="91" w:name="_Toc423337818"/>
      <w:r>
        <w:rPr>
          <w:rFonts w:ascii="华文中宋" w:eastAsia="华文中宋" w:hAnsi="华文中宋" w:hint="eastAsia"/>
          <w:b w:val="0"/>
        </w:rPr>
        <w:t>总则</w:t>
      </w:r>
      <w:bookmarkEnd w:id="90"/>
      <w:bookmarkEnd w:id="91"/>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本指南所指合同，是指高校开展教学、科研及其他活动时，与自然人、法人及其他组织等平等主体之间设立、变更、终止民事权利义务关系的协议。</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高校与职工签订的劳动合同，不适用本指南。</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高校合同控制应当重点关注下列风险：</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（一）合同内部管理制度不健全，归口管理部门不明确，未经授权或未按规定的程序签订合同，合同印章管理不规范，可能导致经济资源无法正常流入或形成额外的支付义务。</w:t>
      </w:r>
      <w:r>
        <w:rPr>
          <w:rFonts w:ascii="仿宋_GB2312" w:eastAsia="仿宋_GB2312" w:hAnsi="仿宋"/>
          <w:sz w:val="32"/>
          <w:szCs w:val="32"/>
        </w:rPr>
        <w:t xml:space="preserve">  </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（二）合同内容和条款不合法、不合规，或在重大问题上做出不当让步，合同执行期过长，导致学校合法利益受损或承担额外的法律责任。</w:t>
      </w:r>
      <w:r>
        <w:rPr>
          <w:rFonts w:ascii="仿宋_GB2312" w:eastAsia="仿宋_GB2312" w:hAnsi="仿宋"/>
          <w:sz w:val="32"/>
          <w:szCs w:val="32"/>
        </w:rPr>
        <w:t xml:space="preserve">  </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（三）合同生效后，合同执行主体未严格恰当地履行合同中约定的义务，或未能及时发现合同对方当事人未严格恰当履行约定业务并采取措施，可能导致合同无法正常履行，学校无法取得应有的经济利益。</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（四）合同保管不当，泄露合同订立与履行过程中涉及的国家秘密、工作秘密或商业秘密，导致高校乃至国家利益受损。</w:t>
      </w:r>
      <w:r>
        <w:rPr>
          <w:rFonts w:ascii="仿宋_GB2312" w:eastAsia="仿宋_GB2312" w:hAnsi="仿宋"/>
          <w:sz w:val="32"/>
          <w:szCs w:val="32"/>
        </w:rPr>
        <w:t xml:space="preserve"> </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合同内部管理制度，根据合同类型分类确定归口管理部门和合同执行部门。明确签订合同的业务和事项范围以及合同授权签署权限。明确合同拟定、审批、执行、登记保管等环节的程序和要求。完善合同信息管理系统，加强对合同履行情况的监控。定期检查和评价合同管理中的薄弱环节，加强合同信息安全保密工作，切实维护高校的合法权益。</w:t>
      </w:r>
    </w:p>
    <w:p w:rsidR="00B532E3" w:rsidRDefault="00B532E3" w:rsidP="00984DDA">
      <w:pPr>
        <w:pStyle w:val="Heading2"/>
        <w:numPr>
          <w:ilvl w:val="0"/>
          <w:numId w:val="14"/>
        </w:numPr>
        <w:adjustRightInd w:val="0"/>
        <w:spacing w:beforeLines="100" w:after="0" w:line="240" w:lineRule="auto"/>
        <w:contextualSpacing/>
        <w:jc w:val="center"/>
        <w:rPr>
          <w:rFonts w:ascii="华文中宋" w:eastAsia="华文中宋" w:hAnsi="华文中宋"/>
          <w:b w:val="0"/>
        </w:rPr>
      </w:pPr>
      <w:bookmarkStart w:id="92" w:name="_Toc423337707"/>
      <w:bookmarkStart w:id="93" w:name="_Toc423337819"/>
      <w:r>
        <w:rPr>
          <w:rFonts w:ascii="华文中宋" w:eastAsia="华文中宋" w:hAnsi="华文中宋" w:hint="eastAsia"/>
          <w:b w:val="0"/>
        </w:rPr>
        <w:t>岗位设置和职责</w:t>
      </w:r>
      <w:bookmarkEnd w:id="92"/>
      <w:bookmarkEnd w:id="93"/>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高校应设置专门岗位分别负责合同的起草、审核、审批、签订、执行、核算、保管和入档，并落实岗位责任制。</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合同专用章应当由专人妥善保管和使用。合同签订、合同执行和付款审批，合同签订和合同专用章保管分别为不相容岗位。不得由同一人办理合同签订、收付款业务。</w:t>
      </w:r>
      <w:r>
        <w:rPr>
          <w:rFonts w:ascii="仿宋_GB2312" w:eastAsia="仿宋_GB2312" w:hAnsi="华文中宋"/>
          <w:sz w:val="32"/>
          <w:szCs w:val="30"/>
        </w:rPr>
        <w:t xml:space="preserve">  </w:t>
      </w:r>
    </w:p>
    <w:p w:rsidR="00B532E3" w:rsidRDefault="00B532E3" w:rsidP="00984DDA">
      <w:pPr>
        <w:pStyle w:val="Heading2"/>
        <w:numPr>
          <w:ilvl w:val="0"/>
          <w:numId w:val="14"/>
        </w:numPr>
        <w:adjustRightInd w:val="0"/>
        <w:spacing w:beforeLines="100" w:after="0" w:line="240" w:lineRule="auto"/>
        <w:contextualSpacing/>
        <w:jc w:val="center"/>
        <w:rPr>
          <w:rFonts w:ascii="华文中宋" w:eastAsia="华文中宋" w:hAnsi="华文中宋"/>
          <w:b w:val="0"/>
        </w:rPr>
      </w:pPr>
      <w:bookmarkStart w:id="94" w:name="_Toc423337820"/>
      <w:bookmarkStart w:id="95" w:name="_Toc423337708"/>
      <w:r>
        <w:rPr>
          <w:rFonts w:ascii="华文中宋" w:eastAsia="华文中宋" w:hAnsi="华文中宋" w:hint="eastAsia"/>
          <w:b w:val="0"/>
        </w:rPr>
        <w:t>合同订立</w:t>
      </w:r>
      <w:bookmarkEnd w:id="94"/>
      <w:bookmarkEnd w:id="95"/>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高校对外发生经济行为，除即时结清方式或按规定可不签订合同外，应当订立书面合同，明确双方权利义务。</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高校不得签订经济担保合同，未经批准不得签订投资合同和借贷合同，严禁未经授权擅自以学校名义对外签订合同。</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高校在合同订立前应当充分了解合同对方的主体资格、资质证明、信用状况、生产能力等有关内容，确保对方当事人具备履约能力。</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对于影响重大、专业技术或法律关系复杂的合同，高校应当组织法律、技术、财务等专业人员参与谈判，必要时可聘请外部专家参与相关工作。</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协商或谈判过程中的重要事项和参与谈判人员的主要意见，应当予以记录并妥善保存。</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合同文本一般由业务承办部门起草、法律部门审核，重大合同或法律关系复杂的特殊合同应当由法律部门参与起草</w:t>
      </w:r>
      <w:r>
        <w:rPr>
          <w:rFonts w:ascii="仿宋_GB2312" w:eastAsia="仿宋_GB2312" w:hAnsi="华文中宋"/>
          <w:sz w:val="32"/>
          <w:szCs w:val="30"/>
        </w:rPr>
        <w:t>,</w:t>
      </w:r>
      <w:r>
        <w:rPr>
          <w:rFonts w:ascii="仿宋_GB2312" w:eastAsia="仿宋_GB2312" w:hAnsi="华文中宋" w:hint="eastAsia"/>
          <w:sz w:val="32"/>
          <w:szCs w:val="30"/>
        </w:rPr>
        <w:t>并实行会审制度。</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国家或行业有合同标准文本的，应当优先选用，但对涉及权利义务关系的条款应当进行认真审查，并根据实际情况进行适当修改。</w:t>
      </w:r>
    </w:p>
    <w:p w:rsidR="00B532E3" w:rsidRDefault="00B532E3">
      <w:pPr>
        <w:ind w:firstLineChars="200" w:firstLine="640"/>
        <w:contextualSpacing/>
        <w:rPr>
          <w:rFonts w:ascii="仿宋_GB2312" w:eastAsia="仿宋_GB2312" w:hAnsi="仿宋"/>
          <w:sz w:val="32"/>
          <w:szCs w:val="32"/>
        </w:rPr>
      </w:pPr>
      <w:r>
        <w:rPr>
          <w:rFonts w:ascii="仿宋_GB2312" w:eastAsia="仿宋_GB2312" w:hAnsi="华文中宋" w:hint="eastAsia"/>
          <w:sz w:val="32"/>
          <w:szCs w:val="30"/>
        </w:rPr>
        <w:t>学校可根据管理需要确定制式合同的范围、内容等，经法律部门审核后使用，如无修改，可不再重复审核。</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合同文本须报经国家有关主管部门审查或备案的，应当履行相应程序。</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高校应当加强合同印章的管理，并只为经编号、审批及法定代表人或由其授权的代理人签署的合同文本加盖合同印章。</w:t>
      </w:r>
    </w:p>
    <w:p w:rsidR="00B532E3" w:rsidRDefault="00B532E3" w:rsidP="00984DDA">
      <w:pPr>
        <w:pStyle w:val="Heading2"/>
        <w:numPr>
          <w:ilvl w:val="0"/>
          <w:numId w:val="14"/>
        </w:numPr>
        <w:adjustRightInd w:val="0"/>
        <w:spacing w:beforeLines="100" w:after="0" w:line="240" w:lineRule="auto"/>
        <w:contextualSpacing/>
        <w:jc w:val="center"/>
        <w:rPr>
          <w:rFonts w:ascii="华文中宋" w:eastAsia="华文中宋" w:hAnsi="华文中宋"/>
          <w:b w:val="0"/>
        </w:rPr>
      </w:pPr>
      <w:bookmarkStart w:id="96" w:name="_Toc423337821"/>
      <w:bookmarkStart w:id="97" w:name="_Toc423337709"/>
      <w:r>
        <w:rPr>
          <w:rFonts w:ascii="华文中宋" w:eastAsia="华文中宋" w:hAnsi="华文中宋" w:hint="eastAsia"/>
          <w:b w:val="0"/>
        </w:rPr>
        <w:t>合同的履行</w:t>
      </w:r>
      <w:bookmarkEnd w:id="96"/>
      <w:bookmarkEnd w:id="97"/>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高校应当建立合同履行监督审查制度，对合同履行实施有效监控，敦促对方积极执行合同，确保合同全面有效履行。</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合同生效后，高校对履行中的合同签订补充合同，或变更、解除合同等应当按照国家有关规定进行审查。</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在合同履行过程中发现有显失公平、条款有误或对方有欺诈行为等情形，或因政策调整、市场变化等客观因素，已经或可能导致学校利益受损，学校相关合同执行主体应当立即采取相应措施，按规定程序及时报告，按照规定权限和程序办理合同补充、变更或解除事宜，将损失降到最低。</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变更或补充后的合同视同新合同，需重新履行相应的合同管理程序。</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高校财务部门办理结算业务并进行账务处理时应审核合同有关付款条款，按照</w:t>
      </w:r>
      <w:r>
        <w:rPr>
          <w:rFonts w:ascii="仿宋_GB2312" w:eastAsia="仿宋_GB2312" w:hAnsi="华文中宋" w:hint="eastAsia"/>
          <w:color w:val="000000"/>
          <w:sz w:val="32"/>
          <w:szCs w:val="30"/>
        </w:rPr>
        <w:t>合同约定付款。</w:t>
      </w:r>
      <w:r>
        <w:rPr>
          <w:rFonts w:ascii="仿宋_GB2312" w:eastAsia="仿宋_GB2312" w:hAnsi="华文中宋" w:hint="eastAsia"/>
          <w:sz w:val="32"/>
          <w:szCs w:val="30"/>
        </w:rPr>
        <w:t>未按合同条款履约或应签订书面合同而未签订的，财务部门有权拒绝付款，并及时向学校有关负责人报告。</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高校应当建立合同纠纷处理的有效机制，加强合同纠纷管理。合同纠纷经协商无法解决的，应当根据合同约定选择仲裁或诉讼方式解决。</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高校处理合同纠纷时应书面授权有关部门或个人办理，未经授权不得向对方做出实质性答复或承诺。</w:t>
      </w:r>
    </w:p>
    <w:p w:rsidR="00B532E3" w:rsidRDefault="00B532E3" w:rsidP="00984DDA">
      <w:pPr>
        <w:pStyle w:val="Heading2"/>
        <w:numPr>
          <w:ilvl w:val="0"/>
          <w:numId w:val="14"/>
        </w:numPr>
        <w:adjustRightInd w:val="0"/>
        <w:spacing w:beforeLines="100" w:after="0" w:line="240" w:lineRule="auto"/>
        <w:contextualSpacing/>
        <w:jc w:val="center"/>
        <w:rPr>
          <w:rFonts w:ascii="华文中宋" w:eastAsia="华文中宋" w:hAnsi="华文中宋"/>
          <w:b w:val="0"/>
        </w:rPr>
      </w:pPr>
      <w:bookmarkStart w:id="98" w:name="_Toc423337822"/>
      <w:bookmarkStart w:id="99" w:name="_Toc423337710"/>
      <w:r>
        <w:rPr>
          <w:rFonts w:ascii="华文中宋" w:eastAsia="华文中宋" w:hAnsi="华文中宋" w:hint="eastAsia"/>
          <w:b w:val="0"/>
        </w:rPr>
        <w:t>合同归档</w:t>
      </w:r>
      <w:bookmarkEnd w:id="98"/>
      <w:bookmarkEnd w:id="99"/>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高校应当加强合同信息安全保密工作，未经批准，任何人不得以任何形式泄露合同订立与履行过程中涉及的国家机密、工作秘密或商业秘密。</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高校合同归口管理部门应当加强合同登记管理，充分利用信息化手段，建立合同文本统一分类和连续编号制度，定期对合同进行统计、分类和归档，合同终结应及时办理销号和归档手续。</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高校合同归口管理部门应当规范合同管理人员职责，明确合同流转、借阅和归还的职责权限和审批程序等有关要求，实施合同管理的责任追究制度，并对合同保管情况进行定期和不定期的检查。</w:t>
      </w:r>
    </w:p>
    <w:p w:rsidR="00B532E3" w:rsidRDefault="00B532E3">
      <w:pPr>
        <w:pStyle w:val="1"/>
        <w:numPr>
          <w:ilvl w:val="0"/>
          <w:numId w:val="15"/>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高校应当建立合同履行情况评估制度，至少于每年年末对合同履行的总体情况和重大合同履行的具体情况进行分析评估，对分析评估中发现合同履行中存在的不足，应当及时加以改进。</w:t>
      </w:r>
      <w:r>
        <w:rPr>
          <w:rFonts w:ascii="仿宋_GB2312" w:eastAsia="仿宋_GB2312" w:hAnsi="华文中宋"/>
          <w:sz w:val="32"/>
          <w:szCs w:val="30"/>
        </w:rP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100" w:name="_Toc422228763"/>
      <w:bookmarkStart w:id="101" w:name="_Toc423337823"/>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8</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采购</w:t>
      </w:r>
      <w:bookmarkEnd w:id="100"/>
      <w:r>
        <w:rPr>
          <w:rFonts w:ascii="华文中宋" w:eastAsia="华文中宋" w:hAnsi="华文中宋" w:cs="宋体" w:hint="eastAsia"/>
          <w:kern w:val="0"/>
          <w:sz w:val="32"/>
          <w:szCs w:val="32"/>
        </w:rPr>
        <w:t>管理</w:t>
      </w:r>
      <w:bookmarkEnd w:id="101"/>
    </w:p>
    <w:p w:rsidR="00B532E3" w:rsidRDefault="00B532E3" w:rsidP="00984DDA">
      <w:pPr>
        <w:pStyle w:val="Heading2"/>
        <w:numPr>
          <w:ilvl w:val="0"/>
          <w:numId w:val="16"/>
        </w:numPr>
        <w:adjustRightInd w:val="0"/>
        <w:spacing w:beforeLines="100" w:after="0" w:line="240" w:lineRule="auto"/>
        <w:contextualSpacing/>
        <w:jc w:val="left"/>
        <w:rPr>
          <w:rFonts w:ascii="华文中宋" w:eastAsia="华文中宋" w:hAnsi="华文中宋"/>
          <w:b w:val="0"/>
        </w:rPr>
      </w:pPr>
      <w:bookmarkStart w:id="102" w:name="_Toc423337712"/>
      <w:bookmarkStart w:id="103" w:name="_Toc423337824"/>
      <w:r>
        <w:rPr>
          <w:rFonts w:ascii="华文中宋" w:eastAsia="华文中宋" w:hAnsi="华文中宋" w:hint="eastAsia"/>
          <w:b w:val="0"/>
        </w:rPr>
        <w:t>总则</w:t>
      </w:r>
      <w:bookmarkEnd w:id="102"/>
      <w:bookmarkEnd w:id="103"/>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本指南所称采购管理，是指高校利用纳入预算管理的资金购买货物、服务及支付采购款项等相关活动。</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高校采购管理应当重点关注下列风险：</w:t>
      </w:r>
    </w:p>
    <w:p w:rsidR="00B532E3" w:rsidRDefault="00B532E3">
      <w:pPr>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（一）采购申请审查不严，无采购计划、无预算，或采购计划和预算编制不合理，可能导致资源的重复购置或闲置浪费。</w:t>
      </w:r>
    </w:p>
    <w:p w:rsidR="00B532E3" w:rsidRDefault="00B532E3">
      <w:pPr>
        <w:ind w:firstLineChars="200" w:firstLine="640"/>
        <w:contextualSpacing/>
        <w:rPr>
          <w:rFonts w:ascii="仿宋_GB2312" w:eastAsia="仿宋_GB2312" w:hAnsi="仿宋" w:cs="宋体"/>
          <w:color w:val="FF0000"/>
          <w:kern w:val="0"/>
          <w:sz w:val="32"/>
          <w:szCs w:val="32"/>
        </w:rPr>
      </w:pPr>
      <w:r>
        <w:rPr>
          <w:rFonts w:ascii="仿宋_GB2312" w:eastAsia="仿宋_GB2312" w:hAnsi="仿宋" w:cs="宋体" w:hint="eastAsia"/>
          <w:kern w:val="0"/>
          <w:sz w:val="32"/>
          <w:szCs w:val="32"/>
        </w:rPr>
        <w:t>（二）采购方式不合规，招投标或定价机制不科学，供应商选择不当，授权审批程序不规范，可能导致采购货物和服务质次价高，出现舞弊或遭受欺诈。</w:t>
      </w:r>
    </w:p>
    <w:p w:rsidR="00B532E3" w:rsidRDefault="00B532E3">
      <w:pPr>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（三）合同对方的主体资格和履约能力等未达要求，采购合同存在重大疏漏或欺诈，可能导致高校合法权益受损。</w:t>
      </w:r>
    </w:p>
    <w:p w:rsidR="00B532E3" w:rsidRDefault="00B532E3">
      <w:pPr>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（四）政府采购验收不规范，付款审核不严，可能导致采购货物、资金损失或信用受损。</w:t>
      </w:r>
    </w:p>
    <w:p w:rsidR="00B532E3" w:rsidRDefault="00B532E3">
      <w:pPr>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（五）采购结束后售后服务不到位，与采购相关的档案保管不当或丢失，可能导致学校无法享受应有的权利或支付额外费用，造成学校利益受损。</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结合实际，全面梳理采购业务流程，完善采购业务相关管理制度，统筹安排采购计划，明确预算、审批、采购、验收、付款等环节的职责和审批权限，按照规定的审批权限和程序办理采购业务，定期检查和评价采购过程中的薄弱环节，采取有效控制措施，确保货物和服务的采购满足学校各项工作需要。</w:t>
      </w:r>
    </w:p>
    <w:p w:rsidR="00B532E3" w:rsidRPr="00A7452C" w:rsidRDefault="00B532E3" w:rsidP="00984DDA">
      <w:pPr>
        <w:pStyle w:val="Heading2"/>
        <w:numPr>
          <w:ilvl w:val="0"/>
          <w:numId w:val="16"/>
        </w:numPr>
        <w:adjustRightInd w:val="0"/>
        <w:spacing w:beforeLines="100" w:after="0" w:line="240" w:lineRule="auto"/>
        <w:contextualSpacing/>
        <w:jc w:val="left"/>
        <w:rPr>
          <w:rFonts w:ascii="华文中宋" w:eastAsia="华文中宋" w:hAnsi="华文中宋"/>
          <w:b w:val="0"/>
        </w:rPr>
      </w:pPr>
      <w:bookmarkStart w:id="104" w:name="_Toc423337825"/>
      <w:bookmarkStart w:id="105" w:name="_Toc423337713"/>
      <w:r>
        <w:rPr>
          <w:rFonts w:ascii="华文中宋" w:eastAsia="华文中宋" w:hAnsi="华文中宋" w:hint="eastAsia"/>
          <w:b w:val="0"/>
        </w:rPr>
        <w:t>岗位设置和职责</w:t>
      </w:r>
      <w:bookmarkEnd w:id="104"/>
      <w:bookmarkEnd w:id="105"/>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高校应当设置专门的采购管理机构或明确归口管理部门，统一管理学校的采购业务活动。并建立采购管理、资产管理、财务、审计、纪检监察等部门或岗位相互协调、相互制约的机制。</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高校应当设置采购计划编制、采购预算审批、采购执行、合同审查、验收、付款、档案管理、采购监督等采购业务管理岗位，并明确采购业务管理中相关岗位的职责与权限。</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高校应当确保采购计划制定与预算审批、招标文件准备与复核、合同签订与验收、预算审批与付款、验收与保管、采购执行与采购监督等不相容岗位相互分离。</w:t>
      </w:r>
    </w:p>
    <w:p w:rsidR="00B532E3" w:rsidRDefault="00B532E3" w:rsidP="00984DDA">
      <w:pPr>
        <w:pStyle w:val="Heading2"/>
        <w:numPr>
          <w:ilvl w:val="0"/>
          <w:numId w:val="16"/>
        </w:numPr>
        <w:adjustRightInd w:val="0"/>
        <w:spacing w:beforeLines="100" w:after="0" w:line="240" w:lineRule="auto"/>
        <w:contextualSpacing/>
        <w:jc w:val="left"/>
        <w:rPr>
          <w:rFonts w:ascii="华文中宋" w:eastAsia="华文中宋" w:hAnsi="华文中宋"/>
          <w:b w:val="0"/>
        </w:rPr>
      </w:pPr>
      <w:bookmarkStart w:id="106" w:name="_Toc423337714"/>
      <w:bookmarkStart w:id="107" w:name="_Toc423337826"/>
      <w:r>
        <w:rPr>
          <w:rFonts w:ascii="华文中宋" w:eastAsia="华文中宋" w:hAnsi="华文中宋" w:hint="eastAsia"/>
          <w:b w:val="0"/>
        </w:rPr>
        <w:t>计划与预算</w:t>
      </w:r>
      <w:bookmarkEnd w:id="106"/>
      <w:bookmarkEnd w:id="107"/>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高校应当建立健全采购申请审批制度，明确相应的请购和审批程序。</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高校采购管理部门应当根据实际需求和相关标准，统筹安排采购计划，合理确定采购批次，提高采购业务效率，降低采购成本。对贵重资产的购置应当组织专家组进行论证，不得超出实际需求超标准配置。</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高校财务部门应当加强对采购计划的预算审查，重点关注采购计划是否经归口管理部门确认，是否列入预算范围内等。</w:t>
      </w:r>
      <w:r>
        <w:rPr>
          <w:rFonts w:ascii="仿宋_GB2312" w:eastAsia="仿宋_GB2312" w:hAnsi="华文中宋"/>
          <w:sz w:val="32"/>
          <w:szCs w:val="30"/>
        </w:rPr>
        <w:t xml:space="preserve"> </w:t>
      </w:r>
    </w:p>
    <w:p w:rsidR="00B532E3" w:rsidRDefault="00B532E3" w:rsidP="00984DDA">
      <w:pPr>
        <w:pStyle w:val="Heading2"/>
        <w:numPr>
          <w:ilvl w:val="0"/>
          <w:numId w:val="16"/>
        </w:numPr>
        <w:adjustRightInd w:val="0"/>
        <w:spacing w:beforeLines="100" w:after="0" w:line="240" w:lineRule="auto"/>
        <w:contextualSpacing/>
        <w:jc w:val="left"/>
        <w:rPr>
          <w:rFonts w:ascii="华文中宋" w:eastAsia="华文中宋" w:hAnsi="华文中宋"/>
          <w:b w:val="0"/>
        </w:rPr>
      </w:pPr>
      <w:bookmarkStart w:id="108" w:name="_Toc423337827"/>
      <w:bookmarkStart w:id="109" w:name="_Toc423337715"/>
      <w:r>
        <w:rPr>
          <w:rFonts w:ascii="华文中宋" w:eastAsia="华文中宋" w:hAnsi="华文中宋" w:hint="eastAsia"/>
          <w:b w:val="0"/>
        </w:rPr>
        <w:t>采购</w:t>
      </w:r>
      <w:bookmarkEnd w:id="108"/>
      <w:bookmarkEnd w:id="109"/>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高校采购管理部门应当根据法律法规，选择公开招标、邀请招标、竞争性谈判、竞争性磋商采购、单一来源采购、询价等政府采购方式。对于变更政府采购方式的事项，应当加强内部审核，严格履行审批手续。</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高校对大宗货物和服务采购应当采用公开招标方式。高校采购管理部门要加强对单一来源采购方式的审查，严格程序，将采购项目信息和唯一供应商名称在指定的媒体公示。</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科学的供应商准入和评估制度，建立与完善供应商管理信息系统，对供应商提供物资或劳务的质量、价格、交货及时性、供货条件及其资信、经营状况等进行实时管理和综合评价，根据评价结果对供应商进行合理选择和动态调整。</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采购管理部门应当科学合理确定采购业务的价格选择机制和招标评标方法。对技术、服务等标准统一的货物和服务项目，应当采用最低价评标价法；对技术、服务相对复杂、要求高的货物和服务，可采取综合评分法。</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高校应当根据《应用指南第</w:t>
      </w:r>
      <w:r>
        <w:rPr>
          <w:rFonts w:ascii="仿宋_GB2312" w:eastAsia="仿宋_GB2312" w:hAnsi="华文中宋"/>
          <w:sz w:val="32"/>
          <w:szCs w:val="30"/>
        </w:rPr>
        <w:t>7</w:t>
      </w:r>
      <w:r>
        <w:rPr>
          <w:rFonts w:ascii="仿宋_GB2312" w:eastAsia="仿宋_GB2312" w:hAnsi="华文中宋" w:hint="eastAsia"/>
          <w:sz w:val="32"/>
          <w:szCs w:val="30"/>
        </w:rPr>
        <w:t>号</w:t>
      </w:r>
      <w:r>
        <w:rPr>
          <w:rFonts w:ascii="仿宋_GB2312" w:eastAsia="仿宋_GB2312" w:hAnsi="华文中宋"/>
          <w:sz w:val="32"/>
          <w:szCs w:val="30"/>
        </w:rPr>
        <w:t>—</w:t>
      </w:r>
      <w:r>
        <w:rPr>
          <w:rFonts w:ascii="仿宋_GB2312" w:eastAsia="仿宋_GB2312" w:hAnsi="华文中宋" w:hint="eastAsia"/>
          <w:sz w:val="32"/>
          <w:szCs w:val="30"/>
        </w:rPr>
        <w:t>合同管理》要求，加强对采购合同的审查管理，对拟签订合同的供应商的主体资格、信用状况等进行风险评估，按照规定权限签署采购合同。对于影响重大、涉及较高专业技术或法律关系复杂的合同，应当组织法律、技术、财务等专业人员参与谈判。</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高校对涉密的采购业务项目，应当加强安全保密管理，与相关供应商或采购中介机构签订保密协议或者在合同中设定保密条款。</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高校应当按照法律法规严格对采购进口产品进行审查并严格履行审批手续。</w:t>
      </w:r>
    </w:p>
    <w:p w:rsidR="00B532E3" w:rsidRDefault="00B532E3" w:rsidP="00984DDA">
      <w:pPr>
        <w:pStyle w:val="Heading2"/>
        <w:numPr>
          <w:ilvl w:val="0"/>
          <w:numId w:val="16"/>
        </w:numPr>
        <w:adjustRightInd w:val="0"/>
        <w:spacing w:beforeLines="100" w:after="0" w:line="240" w:lineRule="auto"/>
        <w:contextualSpacing/>
        <w:jc w:val="left"/>
        <w:rPr>
          <w:rFonts w:ascii="华文中宋" w:eastAsia="华文中宋" w:hAnsi="华文中宋"/>
          <w:b w:val="0"/>
        </w:rPr>
      </w:pPr>
      <w:bookmarkStart w:id="110" w:name="_Toc423337828"/>
      <w:bookmarkStart w:id="111" w:name="_Toc423337716"/>
      <w:r>
        <w:rPr>
          <w:rFonts w:ascii="华文中宋" w:eastAsia="华文中宋" w:hAnsi="华文中宋" w:hint="eastAsia"/>
          <w:b w:val="0"/>
        </w:rPr>
        <w:t>验收</w:t>
      </w:r>
      <w:bookmarkEnd w:id="110"/>
      <w:bookmarkEnd w:id="111"/>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高校应当建立严格的采购验收制度。大型或者复杂的采购项目，应当邀请国家认可的质量检测机构参加验收工作。</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对于验收过程中发现的异常情况，验收机构应当查明原因并及时处理。对于不合格货物，相关部门依据检验结果办理退货、索赔等事宜。对延迟交货造成教学科研等损失的，采购管理部门要按照合同约定索赔。</w:t>
      </w:r>
    </w:p>
    <w:p w:rsidR="00B532E3" w:rsidRDefault="00B532E3" w:rsidP="00984DDA">
      <w:pPr>
        <w:pStyle w:val="Heading2"/>
        <w:numPr>
          <w:ilvl w:val="0"/>
          <w:numId w:val="16"/>
        </w:numPr>
        <w:adjustRightInd w:val="0"/>
        <w:spacing w:beforeLines="100" w:after="0" w:line="240" w:lineRule="auto"/>
        <w:contextualSpacing/>
        <w:jc w:val="left"/>
        <w:rPr>
          <w:rFonts w:ascii="华文中宋" w:eastAsia="华文中宋" w:hAnsi="华文中宋"/>
          <w:b w:val="0"/>
        </w:rPr>
      </w:pPr>
      <w:bookmarkStart w:id="112" w:name="_Toc423337829"/>
      <w:bookmarkStart w:id="113" w:name="_Toc423337717"/>
      <w:r>
        <w:rPr>
          <w:rFonts w:ascii="华文中宋" w:eastAsia="华文中宋" w:hAnsi="华文中宋" w:hint="eastAsia"/>
          <w:b w:val="0"/>
        </w:rPr>
        <w:t>付款</w:t>
      </w:r>
      <w:bookmarkEnd w:id="112"/>
      <w:bookmarkEnd w:id="113"/>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高校应当加强采购付款的管理，完善付款流程，严格审核采购预算、合同、相关单据凭证、审批程序等相关内容，特别是采购发票等票据的真实性、合法性和有效性，审核无误后按照合同规定付款。</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重视采购付款的过程控制和跟踪管理，涉及大额或长期的预付款项，应当定期进行追踪核查，及时办理核销手续。发现有疑问的预付款项，应当及时采取措施，尽快收回款项；发现其他异常情况，应当拒绝向供应商付款，避免出现资金损失。</w:t>
      </w:r>
    </w:p>
    <w:p w:rsidR="00B532E3" w:rsidRDefault="00B532E3" w:rsidP="00984DDA">
      <w:pPr>
        <w:pStyle w:val="Heading2"/>
        <w:numPr>
          <w:ilvl w:val="0"/>
          <w:numId w:val="16"/>
        </w:numPr>
        <w:adjustRightInd w:val="0"/>
        <w:spacing w:beforeLines="100" w:after="0" w:line="240" w:lineRule="auto"/>
        <w:contextualSpacing/>
        <w:jc w:val="left"/>
        <w:rPr>
          <w:rFonts w:ascii="华文中宋" w:eastAsia="华文中宋" w:hAnsi="华文中宋"/>
          <w:b w:val="0"/>
        </w:rPr>
      </w:pPr>
      <w:bookmarkStart w:id="114" w:name="_Toc423337830"/>
      <w:bookmarkStart w:id="115" w:name="_Toc423337718"/>
      <w:r>
        <w:rPr>
          <w:rFonts w:ascii="华文中宋" w:eastAsia="华文中宋" w:hAnsi="华文中宋" w:hint="eastAsia"/>
          <w:b w:val="0"/>
        </w:rPr>
        <w:t>归档</w:t>
      </w:r>
      <w:bookmarkEnd w:id="114"/>
      <w:bookmarkEnd w:id="115"/>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高校应当加强对采购业务的记录控制，制订学校采购业务档案管理制度，明确相关采购业务的归档范围和保管期限，确保采购过程的可追溯性。</w:t>
      </w:r>
    </w:p>
    <w:p w:rsidR="00B532E3" w:rsidRDefault="00B532E3">
      <w:pPr>
        <w:pStyle w:val="1"/>
        <w:numPr>
          <w:ilvl w:val="0"/>
          <w:numId w:val="17"/>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高校应当妥善保管采购预算与计划、各类批复文件、招投标文件、评标文件、合同文本、验收证明等采购业务相关资料，不得伪造、隐匿或者销毁。</w:t>
      </w:r>
    </w:p>
    <w:p w:rsidR="00B532E3" w:rsidRDefault="00B532E3">
      <w:pPr>
        <w:widowControl/>
        <w:contextualSpacing/>
        <w:jc w:val="center"/>
        <w:outlineLvl w:val="0"/>
        <w:rPr>
          <w:rFonts w:ascii="华文中宋" w:eastAsia="华文中宋" w:hAnsi="华文中宋" w:cs="宋体"/>
          <w:kern w:val="0"/>
          <w:sz w:val="32"/>
          <w:szCs w:val="32"/>
        </w:rPr>
      </w:pPr>
      <w:r>
        <w:rPr>
          <w:rFonts w:ascii="仿宋_GB2312" w:eastAsia="仿宋_GB2312" w:hAnsi="黑体"/>
          <w:b/>
          <w:bCs/>
          <w:kern w:val="44"/>
          <w:sz w:val="32"/>
          <w:szCs w:val="32"/>
        </w:rPr>
        <w:br w:type="page"/>
      </w:r>
      <w:bookmarkStart w:id="116" w:name="_Toc422228764"/>
    </w:p>
    <w:p w:rsidR="00B532E3" w:rsidRDefault="00B532E3">
      <w:pPr>
        <w:widowControl/>
        <w:contextualSpacing/>
        <w:jc w:val="center"/>
        <w:outlineLvl w:val="0"/>
        <w:rPr>
          <w:rFonts w:ascii="华文中宋" w:eastAsia="华文中宋" w:hAnsi="华文中宋" w:cs="宋体"/>
          <w:kern w:val="0"/>
          <w:sz w:val="32"/>
          <w:szCs w:val="32"/>
        </w:rPr>
      </w:pPr>
      <w:bookmarkStart w:id="117" w:name="_Toc423337831"/>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9</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工程</w:t>
      </w:r>
      <w:bookmarkEnd w:id="116"/>
      <w:r>
        <w:rPr>
          <w:rFonts w:ascii="华文中宋" w:eastAsia="华文中宋" w:hAnsi="华文中宋" w:cs="宋体" w:hint="eastAsia"/>
          <w:kern w:val="0"/>
          <w:sz w:val="32"/>
          <w:szCs w:val="32"/>
        </w:rPr>
        <w:t>项目管理</w:t>
      </w:r>
      <w:bookmarkEnd w:id="117"/>
    </w:p>
    <w:p w:rsidR="00B532E3" w:rsidRDefault="00B532E3" w:rsidP="00984DDA">
      <w:pPr>
        <w:pStyle w:val="Heading2"/>
        <w:numPr>
          <w:ilvl w:val="0"/>
          <w:numId w:val="18"/>
        </w:numPr>
        <w:adjustRightInd w:val="0"/>
        <w:spacing w:beforeLines="100" w:after="0" w:line="240" w:lineRule="auto"/>
        <w:contextualSpacing/>
        <w:jc w:val="center"/>
        <w:rPr>
          <w:rFonts w:ascii="华文中宋" w:eastAsia="华文中宋" w:hAnsi="华文中宋"/>
          <w:b w:val="0"/>
        </w:rPr>
      </w:pPr>
      <w:bookmarkStart w:id="118" w:name="_Toc423337720"/>
      <w:bookmarkStart w:id="119" w:name="_Toc423337832"/>
      <w:r>
        <w:rPr>
          <w:rFonts w:ascii="华文中宋" w:eastAsia="华文中宋" w:hAnsi="华文中宋" w:hint="eastAsia"/>
          <w:b w:val="0"/>
        </w:rPr>
        <w:t>总则</w:t>
      </w:r>
      <w:bookmarkEnd w:id="118"/>
      <w:bookmarkEnd w:id="119"/>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本指南所称工程项目是指高校自行或者委托其他单位所进行的建筑物和构筑物的新建、改建、扩建及相关的装修、拆除、修缮、安装等基本建设、大型修缮以及基础设施建设和改造工程。</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实施工程项目应当重点关注下列风险：</w:t>
      </w:r>
    </w:p>
    <w:p w:rsidR="00B532E3" w:rsidRDefault="00B532E3">
      <w:pPr>
        <w:widowControl/>
        <w:numPr>
          <w:ilvl w:val="0"/>
          <w:numId w:val="20"/>
        </w:numPr>
        <w:ind w:left="0"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校园建设总体规划、整体修建性规划未获批，立项缺乏可行性研究或者可行性研究流于形式，工程项目仓促上马，可能导致工程项目更改、失败或难以实现预期目标和效益。</w:t>
      </w:r>
    </w:p>
    <w:p w:rsidR="00B532E3" w:rsidRDefault="00B532E3">
      <w:pPr>
        <w:widowControl/>
        <w:numPr>
          <w:ilvl w:val="0"/>
          <w:numId w:val="20"/>
        </w:numPr>
        <w:ind w:left="0"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工程项目设计方案不合理，技术方案未能有效落实，施工图不够准确、完整，概预算脱离实际，可能导致工程项目质量存在隐患</w:t>
      </w:r>
      <w:r>
        <w:rPr>
          <w:rFonts w:ascii="仿宋_GB2312" w:eastAsia="仿宋_GB2312" w:hAnsi="仿宋" w:cs="宋体"/>
          <w:kern w:val="0"/>
          <w:sz w:val="32"/>
          <w:szCs w:val="32"/>
        </w:rPr>
        <w:t>,</w:t>
      </w:r>
      <w:r>
        <w:rPr>
          <w:rFonts w:ascii="仿宋_GB2312" w:eastAsia="仿宋_GB2312" w:hAnsi="仿宋" w:cs="宋体" w:hint="eastAsia"/>
          <w:kern w:val="0"/>
          <w:sz w:val="32"/>
          <w:szCs w:val="32"/>
        </w:rPr>
        <w:t>投资失控。</w:t>
      </w:r>
    </w:p>
    <w:p w:rsidR="00B532E3" w:rsidRDefault="00B532E3">
      <w:pPr>
        <w:widowControl/>
        <w:numPr>
          <w:ilvl w:val="0"/>
          <w:numId w:val="20"/>
        </w:numPr>
        <w:ind w:left="0"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工程项目招标存在串通、暗箱操作或商业贿赂等，可能导致中标人实质上难以承担工程项目、中标价格失实及相关人员有舞弊行为。</w:t>
      </w:r>
    </w:p>
    <w:p w:rsidR="00B532E3" w:rsidRDefault="00B532E3">
      <w:pPr>
        <w:widowControl/>
        <w:numPr>
          <w:ilvl w:val="0"/>
          <w:numId w:val="20"/>
        </w:numPr>
        <w:ind w:left="0"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项目资金不落实，资金使用混乱，结算管理不严格，可能导致工程进度延迟或中断、资金损失。</w:t>
      </w:r>
    </w:p>
    <w:p w:rsidR="00B532E3" w:rsidRDefault="00B532E3">
      <w:pPr>
        <w:widowControl/>
        <w:numPr>
          <w:ilvl w:val="0"/>
          <w:numId w:val="20"/>
        </w:numPr>
        <w:ind w:left="0"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工程项目施工管理、工程监理不到位，工程变更频繁，可能导致工程质量低劣、预算超支、投资失控、工期延误。</w:t>
      </w:r>
    </w:p>
    <w:p w:rsidR="00B532E3" w:rsidRDefault="00B532E3">
      <w:pPr>
        <w:widowControl/>
        <w:numPr>
          <w:ilvl w:val="0"/>
          <w:numId w:val="20"/>
        </w:numPr>
        <w:ind w:left="0"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工程项目竣工验收不规范，把关不严，可能导致工程交付使用后存在重大安全隐患。</w:t>
      </w:r>
    </w:p>
    <w:p w:rsidR="00B532E3" w:rsidRDefault="00B532E3">
      <w:pPr>
        <w:widowControl/>
        <w:numPr>
          <w:ilvl w:val="0"/>
          <w:numId w:val="20"/>
        </w:numPr>
        <w:ind w:left="0"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工程项目未及时办理竣工决算；决算时虚报项目投资完成额或者隐匿结余资金，竣工决算内容不准确，可能导致竣工决算失真。</w:t>
      </w:r>
    </w:p>
    <w:p w:rsidR="00B532E3" w:rsidRDefault="00B532E3">
      <w:pPr>
        <w:widowControl/>
        <w:numPr>
          <w:ilvl w:val="0"/>
          <w:numId w:val="20"/>
        </w:numPr>
        <w:ind w:left="0"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竣工项目未及时办理产权登记，资产未及时结转入账，形成账外资产，可能导致国有资产流失。</w:t>
      </w:r>
    </w:p>
    <w:p w:rsidR="00B532E3" w:rsidRDefault="00B532E3">
      <w:pPr>
        <w:widowControl/>
        <w:numPr>
          <w:ilvl w:val="0"/>
          <w:numId w:val="20"/>
        </w:numPr>
        <w:ind w:left="0"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竣工项目建设档案不及时整理和移交，导致工程项目后续维护维修困难。</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工程项目的各项管理制度，全面梳理各个环节可能存在的风险点，规范立项、招标、造价、建设、验收等环节的工作流程，明确相关部门和岗位的职责权限，做到不相容职务相互分离。强化工程建设全过程的监控，确保工程项目的质量、进度和资金安全。</w:t>
      </w:r>
    </w:p>
    <w:p w:rsidR="00B532E3" w:rsidRDefault="00B532E3" w:rsidP="00BA5D3B">
      <w:pPr>
        <w:pStyle w:val="Heading2"/>
        <w:numPr>
          <w:ilvl w:val="0"/>
          <w:numId w:val="18"/>
        </w:numPr>
        <w:adjustRightInd w:val="0"/>
        <w:spacing w:beforeLines="100" w:after="0" w:line="240" w:lineRule="auto"/>
        <w:contextualSpacing/>
        <w:jc w:val="center"/>
        <w:rPr>
          <w:rFonts w:ascii="华文中宋" w:eastAsia="华文中宋" w:hAnsi="华文中宋"/>
          <w:b w:val="0"/>
        </w:rPr>
      </w:pPr>
      <w:bookmarkStart w:id="120" w:name="_Toc423337833"/>
      <w:bookmarkStart w:id="121" w:name="_Toc423337721"/>
      <w:bookmarkStart w:id="122" w:name="_Toc402418387"/>
      <w:r>
        <w:rPr>
          <w:rFonts w:ascii="华文中宋" w:eastAsia="华文中宋" w:hAnsi="华文中宋" w:hint="eastAsia"/>
          <w:b w:val="0"/>
        </w:rPr>
        <w:t>岗位设置与职责</w:t>
      </w:r>
      <w:bookmarkEnd w:id="120"/>
      <w:bookmarkEnd w:id="121"/>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和完善与工程项目相关的决策、执行与监督相互分离、相互制约机制。工程项目立项、概预算等与工程项目相关的重要事项，应按照规定的权限和程序由学校领导班子集体决策。决策过程应有完整的书面记录。任何个人不得单独决策或者擅自改变集体决策意见。</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明确基建和修缮工程归口管理部门和岗位的职责权限，按照不相容岗位分离原则合理设置岗位。工程项目不相容岗位包括：项目建议和可行性研究与项目决策、概预算编制与审核、项目实施与招标、项目实施与价款支付、竣工决算与竣工审计等。</w:t>
      </w:r>
    </w:p>
    <w:bookmarkEnd w:id="122"/>
    <w:p w:rsidR="00B532E3" w:rsidRDefault="00B532E3" w:rsidP="00984DDA">
      <w:pPr>
        <w:pStyle w:val="Heading2"/>
        <w:numPr>
          <w:ilvl w:val="0"/>
          <w:numId w:val="18"/>
        </w:numPr>
        <w:adjustRightInd w:val="0"/>
        <w:spacing w:beforeLines="100" w:after="0" w:line="240" w:lineRule="auto"/>
        <w:contextualSpacing/>
        <w:jc w:val="center"/>
        <w:rPr>
          <w:rFonts w:ascii="华文中宋" w:eastAsia="华文中宋" w:hAnsi="华文中宋"/>
          <w:b w:val="0"/>
        </w:rPr>
      </w:pPr>
      <w:r>
        <w:rPr>
          <w:rFonts w:ascii="华文中宋" w:eastAsia="华文中宋" w:hAnsi="华文中宋" w:hint="eastAsia"/>
          <w:b w:val="0"/>
        </w:rPr>
        <w:t>项目管理</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高校应当委托有相应资质的单位编制校园建设总体规划，并将其作为开展工程项目建设的基本依据。校园总体规划的编制应当经过科学论证、集体决策，并依照有关规定经相关部门批准后报教育部备案。</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基本建设工程应当严格履行教育部规定的基本建设程序，在项目实施前委托具有相应资质的专业机构，对项目实施的必要性与可行性进行研究与论证，形成项目可行性研究报告报教育部审批。并根据教育部批复的可行性研究报告编制项目设计任务书、设计方案和项目概预算。高校应当在获得立项批复后才能实施基本建设工程。</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高校的大型修缮以及基础设施建设和改造工程在实施前应根据相关规定</w:t>
      </w:r>
      <w:r>
        <w:rPr>
          <w:rFonts w:ascii="仿宋_GB2312" w:eastAsia="仿宋_GB2312" w:hAnsi="华文中宋"/>
          <w:sz w:val="32"/>
          <w:szCs w:val="30"/>
        </w:rPr>
        <w:t>,</w:t>
      </w:r>
      <w:r>
        <w:rPr>
          <w:rFonts w:ascii="仿宋_GB2312" w:eastAsia="仿宋_GB2312" w:hAnsi="华文中宋" w:hint="eastAsia"/>
          <w:sz w:val="32"/>
          <w:szCs w:val="30"/>
        </w:rPr>
        <w:t>组织相关专家开展必要的可行性研究与论证</w:t>
      </w:r>
      <w:r>
        <w:rPr>
          <w:rFonts w:ascii="仿宋_GB2312" w:eastAsia="仿宋_GB2312" w:hAnsi="华文中宋"/>
          <w:sz w:val="32"/>
          <w:szCs w:val="30"/>
        </w:rPr>
        <w:t>,</w:t>
      </w:r>
      <w:r>
        <w:rPr>
          <w:rFonts w:ascii="仿宋_GB2312" w:eastAsia="仿宋_GB2312" w:hAnsi="华文中宋" w:hint="eastAsia"/>
          <w:sz w:val="32"/>
          <w:szCs w:val="30"/>
        </w:rPr>
        <w:t>制定具体实施方案，并按规定经学校或有关政府部门批准后方可实施。</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加强工程项目招标管理。凡达到招标金额规定的工程项目必须按规定公开招标，择优选择具有相应资质的工程项目勘察、设计、施工、监理等单位。招标应按招投标法和工程项目招投标相关的规定组织实施。</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高校应按照《应用指南第</w:t>
      </w:r>
      <w:r>
        <w:rPr>
          <w:rFonts w:ascii="仿宋_GB2312" w:eastAsia="仿宋_GB2312" w:hAnsi="华文中宋"/>
          <w:sz w:val="32"/>
          <w:szCs w:val="30"/>
        </w:rPr>
        <w:t>7</w:t>
      </w:r>
      <w:r>
        <w:rPr>
          <w:rFonts w:ascii="仿宋_GB2312" w:eastAsia="仿宋_GB2312" w:hAnsi="华文中宋" w:hint="eastAsia"/>
          <w:sz w:val="32"/>
          <w:szCs w:val="30"/>
        </w:rPr>
        <w:t>号</w:t>
      </w:r>
      <w:r>
        <w:rPr>
          <w:rFonts w:ascii="仿宋_GB2312" w:eastAsia="仿宋_GB2312" w:hAnsi="华文中宋"/>
          <w:sz w:val="32"/>
          <w:szCs w:val="30"/>
        </w:rPr>
        <w:t>—</w:t>
      </w:r>
      <w:r>
        <w:rPr>
          <w:rFonts w:ascii="仿宋_GB2312" w:eastAsia="仿宋_GB2312" w:hAnsi="华文中宋" w:hint="eastAsia"/>
          <w:sz w:val="32"/>
          <w:szCs w:val="30"/>
        </w:rPr>
        <w:t>合同管理》加强工程项目的合同管理。高校应在规定的期限内与中标人订立书面合同，明确双方的权利、义务和违约责任。合同应涉及合同主体、质量标准、安全、进度、结算、变更、工程价款、履约担保、索赔、保修等核心条款。</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高校应当加强工程造价管理，明确初步设计概算和施工图预算的编制方法，按照规定的权限和程序进行审核批准，确保概预算科学合理。</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高校应组织工程、技术、财会等部门的相关专业人员或者委托具有相应资质的中介机构对工程项目的概预算进行审核，重点审查编制依据、项目内容、工程量的计算、定额套用等是否真实、完整和准确。工程项目概预算按照规定的权限和程序审核批准后执行。</w:t>
      </w:r>
    </w:p>
    <w:p w:rsidR="00B532E3" w:rsidRDefault="00B532E3">
      <w:pPr>
        <w:pStyle w:val="1"/>
        <w:numPr>
          <w:ilvl w:val="0"/>
          <w:numId w:val="19"/>
        </w:numPr>
        <w:ind w:left="0" w:firstLineChars="0" w:firstLine="640"/>
        <w:contextualSpacing/>
        <w:rPr>
          <w:rFonts w:ascii="仿宋_GB2312" w:eastAsia="仿宋_GB2312" w:hAnsi="华文中宋"/>
          <w:sz w:val="32"/>
          <w:szCs w:val="30"/>
        </w:rPr>
      </w:pPr>
      <w:r>
        <w:rPr>
          <w:rFonts w:ascii="仿宋_GB2312" w:eastAsia="仿宋_GB2312" w:hAnsi="华文中宋" w:hint="eastAsia"/>
          <w:sz w:val="32"/>
          <w:szCs w:val="30"/>
        </w:rPr>
        <w:t>高校应当严格按照批复文件实施工程项目，依法委托具有相应资质的监理单位对工程项目进行监理，并加强对工程监理单位的监督。</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高校应严格控制项目变更，确需变更的，应按照规定的权限和程序进行审批。重大的工程变更应按照项目决策和概预算控制的有关程序和要求重新履行审批手续。</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及时组织工程项目竣工验收。对符合竣工验收条件的工程项目，组织施工、设计、使用单位、监理单位及校内相关职能部门进行竣工验收。根据有关规定需要进行专项验收的，应配合相关部门做好专项验收工作。</w:t>
      </w:r>
    </w:p>
    <w:p w:rsidR="00B532E3" w:rsidRDefault="00B532E3">
      <w:pPr>
        <w:pStyle w:val="1"/>
        <w:numPr>
          <w:ilvl w:val="0"/>
          <w:numId w:val="19"/>
        </w:numPr>
        <w:ind w:left="0" w:firstLineChars="0" w:firstLine="640"/>
        <w:contextualSpacing/>
        <w:rPr>
          <w:rFonts w:ascii="仿宋_GB2312" w:eastAsia="仿宋_GB2312" w:hAnsi="华文中宋"/>
          <w:sz w:val="32"/>
          <w:szCs w:val="30"/>
        </w:rPr>
      </w:pPr>
      <w:r>
        <w:rPr>
          <w:rFonts w:ascii="仿宋_GB2312" w:eastAsia="仿宋_GB2312" w:hAnsi="华文中宋" w:hint="eastAsia"/>
          <w:sz w:val="32"/>
          <w:szCs w:val="30"/>
        </w:rPr>
        <w:t>工程项目竣工验收后，高校应当按照规定的时限及时办理竣工决算，组织竣工决算审计，并根据批复的竣工决算和有关规定办理工程项目档案和资产移交等工作。</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工程项目已实际投入使用但超时限未办理竣工决算的，高校应根据项目的实际投资暂估入账，转作相关资产管理。</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高校应当建立完工项目后评价制度。根据有关规定要求，结合实际情况，对项目建成后所达到的实际效果进行绩效评价，并以此作为绩效考核和责任追究的依据。</w:t>
      </w:r>
    </w:p>
    <w:p w:rsidR="00B532E3" w:rsidRDefault="00B532E3" w:rsidP="00984DDA">
      <w:pPr>
        <w:pStyle w:val="Heading2"/>
        <w:numPr>
          <w:ilvl w:val="0"/>
          <w:numId w:val="18"/>
        </w:numPr>
        <w:adjustRightInd w:val="0"/>
        <w:spacing w:beforeLines="100" w:after="0" w:line="240" w:lineRule="auto"/>
        <w:contextualSpacing/>
        <w:jc w:val="center"/>
        <w:rPr>
          <w:rFonts w:ascii="华文中宋" w:eastAsia="华文中宋" w:hAnsi="华文中宋"/>
          <w:b w:val="0"/>
        </w:rPr>
      </w:pPr>
      <w:bookmarkStart w:id="123" w:name="_Toc423337727"/>
      <w:bookmarkStart w:id="124" w:name="_Toc423337839"/>
      <w:r>
        <w:rPr>
          <w:rFonts w:ascii="华文中宋" w:eastAsia="华文中宋" w:hAnsi="华文中宋" w:hint="eastAsia"/>
          <w:b w:val="0"/>
        </w:rPr>
        <w:t>资金管理</w:t>
      </w:r>
      <w:bookmarkEnd w:id="123"/>
      <w:bookmarkEnd w:id="124"/>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高校应实行严格的工程投资控制与概预算管理。经批准的项目概算是项目投资的最高限额，不得随意突破。如必须调整，应按照规定报批。</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高校应加强建设项目资金管理，所有工程项目资金纳入学校预算管理，资金实行专款专用，严禁截留、挪用和超批复内容使用资金。</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健全工程款支付管理办法和审批程序，实行工程款项支付“两支笔”会签制度。并根据合同条款规定和项目实施进度，按照规定的审批权限和程序及时办理价款结算。实行国库集中支付的建设项目，应按照财政国库管理制度规定支付资金。</w:t>
      </w:r>
    </w:p>
    <w:p w:rsidR="00B532E3" w:rsidRDefault="00B532E3">
      <w:pPr>
        <w:pStyle w:val="1"/>
        <w:numPr>
          <w:ilvl w:val="0"/>
          <w:numId w:val="19"/>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因工程项目实施内容变更等原因造成价款支付方式及金额发生变动的，应当严格执行国家有关管理规定，及时签订工程项目合同价款补充协议，并对工程变更价款的支付进行严格审核。</w:t>
      </w:r>
    </w:p>
    <w:p w:rsidR="00B532E3" w:rsidRDefault="00B532E3">
      <w:pPr>
        <w:pStyle w:val="1"/>
        <w:numPr>
          <w:ilvl w:val="0"/>
          <w:numId w:val="21"/>
        </w:numPr>
        <w:ind w:left="0" w:firstLine="640"/>
        <w:contextualSpacing/>
        <w:rPr>
          <w:rFonts w:ascii="仿宋_GB2312" w:eastAsia="仿宋_GB2312" w:hAnsi="华文中宋"/>
          <w:sz w:val="32"/>
          <w:szCs w:val="30"/>
        </w:rPr>
      </w:pPr>
      <w:r>
        <w:rPr>
          <w:rFonts w:ascii="仿宋_GB2312" w:eastAsia="仿宋_GB2312" w:hAnsi="华文中宋"/>
          <w:sz w:val="32"/>
          <w:szCs w:val="30"/>
        </w:rP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125" w:name="_Toc422131519"/>
      <w:bookmarkStart w:id="126" w:name="_Toc423337840"/>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10</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科研项目</w:t>
      </w:r>
      <w:bookmarkEnd w:id="125"/>
      <w:r>
        <w:rPr>
          <w:rFonts w:ascii="华文中宋" w:eastAsia="华文中宋" w:hAnsi="华文中宋" w:cs="宋体" w:hint="eastAsia"/>
          <w:kern w:val="0"/>
          <w:sz w:val="32"/>
          <w:szCs w:val="32"/>
        </w:rPr>
        <w:t>管理</w:t>
      </w:r>
      <w:bookmarkEnd w:id="126"/>
    </w:p>
    <w:p w:rsidR="00B532E3" w:rsidRDefault="00B532E3" w:rsidP="00984DDA">
      <w:pPr>
        <w:pStyle w:val="Heading2"/>
        <w:numPr>
          <w:ilvl w:val="0"/>
          <w:numId w:val="22"/>
        </w:numPr>
        <w:adjustRightInd w:val="0"/>
        <w:spacing w:beforeLines="100" w:after="0" w:line="240" w:lineRule="auto"/>
        <w:contextualSpacing/>
        <w:jc w:val="center"/>
        <w:rPr>
          <w:rFonts w:ascii="华文中宋" w:eastAsia="华文中宋" w:hAnsi="华文中宋"/>
          <w:b w:val="0"/>
        </w:rPr>
      </w:pPr>
      <w:bookmarkStart w:id="127" w:name="_Toc423337729"/>
      <w:bookmarkStart w:id="128" w:name="_Toc423337841"/>
      <w:r>
        <w:rPr>
          <w:rFonts w:ascii="华文中宋" w:eastAsia="华文中宋" w:hAnsi="华文中宋" w:hint="eastAsia"/>
          <w:b w:val="0"/>
        </w:rPr>
        <w:t>总则</w:t>
      </w:r>
      <w:bookmarkEnd w:id="127"/>
      <w:bookmarkEnd w:id="128"/>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本指南所称科研项目是指高校承担的各级政府项目，承接的企事业单位技术开发、技术咨询和服务等科学研究和技术服务项目。</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高校科研项目管理应当重点关注下列风险：</w:t>
      </w:r>
    </w:p>
    <w:p w:rsidR="00B532E3" w:rsidRDefault="00B532E3">
      <w:pPr>
        <w:pStyle w:val="1"/>
        <w:numPr>
          <w:ilvl w:val="0"/>
          <w:numId w:val="2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管理制度不健全，责任落实不到位，管理混乱，可能导致科研项目经费流失，或被滥用、挪用的风险。</w:t>
      </w:r>
    </w:p>
    <w:p w:rsidR="00B532E3" w:rsidRDefault="00B532E3">
      <w:pPr>
        <w:pStyle w:val="1"/>
        <w:numPr>
          <w:ilvl w:val="0"/>
          <w:numId w:val="2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申报立项论证不充分，项目重复申报立项，可能造成项目无法完成，形成资金浪费。</w:t>
      </w:r>
    </w:p>
    <w:p w:rsidR="00B532E3" w:rsidRDefault="00B532E3">
      <w:pPr>
        <w:pStyle w:val="1"/>
        <w:numPr>
          <w:ilvl w:val="0"/>
          <w:numId w:val="2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科研项目合同签订不规范、信息虚假、合同条款存在缺陷，可能产生经济损失和法律纠纷。</w:t>
      </w:r>
    </w:p>
    <w:p w:rsidR="00B532E3" w:rsidRDefault="00B532E3">
      <w:pPr>
        <w:pStyle w:val="1"/>
        <w:numPr>
          <w:ilvl w:val="0"/>
          <w:numId w:val="2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科研经费到款不及时，影响科研工作进度，可能无法按时完成科研任务，造成</w:t>
      </w:r>
      <w:r w:rsidRPr="006147F7">
        <w:rPr>
          <w:rFonts w:ascii="仿宋_GB2312" w:eastAsia="仿宋_GB2312" w:hAnsi="华文中宋" w:hint="eastAsia"/>
          <w:sz w:val="32"/>
          <w:szCs w:val="30"/>
        </w:rPr>
        <w:t>后续科研经费不能按合同约定到位</w:t>
      </w:r>
      <w:r>
        <w:rPr>
          <w:rFonts w:ascii="仿宋_GB2312" w:eastAsia="仿宋_GB2312" w:hAnsi="华文中宋" w:hint="eastAsia"/>
          <w:sz w:val="32"/>
          <w:szCs w:val="30"/>
        </w:rPr>
        <w:t>。</w:t>
      </w:r>
    </w:p>
    <w:p w:rsidR="00B532E3" w:rsidRDefault="00B532E3">
      <w:pPr>
        <w:pStyle w:val="1"/>
        <w:numPr>
          <w:ilvl w:val="0"/>
          <w:numId w:val="2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未按批复的项目预算，或未按合同约定的使用科研项目经费，支出审核不严，项目无法通过验收，可能造成科研经费被收回或减少后续拨款，导致学校信誉受损。</w:t>
      </w:r>
    </w:p>
    <w:p w:rsidR="00B532E3" w:rsidRDefault="00B532E3">
      <w:pPr>
        <w:pStyle w:val="1"/>
        <w:numPr>
          <w:ilvl w:val="0"/>
          <w:numId w:val="2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对技术成果及档案保护措施不力，高校合法权益被侵害。</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高校应当全面梳理科研项目的申请、立项、执行、验收、结题结账、成果保护等关键环节可能存在的风险点，建立架构清晰、职责分明的科研项目管理的内部控制，明确相关部门和岗位的职责权限。</w:t>
      </w:r>
    </w:p>
    <w:p w:rsidR="00B532E3" w:rsidRDefault="00B532E3" w:rsidP="00984DDA">
      <w:pPr>
        <w:pStyle w:val="Heading2"/>
        <w:numPr>
          <w:ilvl w:val="0"/>
          <w:numId w:val="22"/>
        </w:numPr>
        <w:adjustRightInd w:val="0"/>
        <w:spacing w:beforeLines="100" w:after="0" w:line="240" w:lineRule="auto"/>
        <w:contextualSpacing/>
        <w:jc w:val="center"/>
        <w:rPr>
          <w:rFonts w:ascii="华文中宋" w:eastAsia="华文中宋" w:hAnsi="华文中宋"/>
          <w:b w:val="0"/>
        </w:rPr>
      </w:pPr>
      <w:bookmarkStart w:id="129" w:name="_Toc423337842"/>
      <w:bookmarkStart w:id="130" w:name="_Toc423337730"/>
      <w:r>
        <w:rPr>
          <w:rFonts w:ascii="华文中宋" w:eastAsia="华文中宋" w:hAnsi="华文中宋" w:hint="eastAsia"/>
          <w:b w:val="0"/>
        </w:rPr>
        <w:t>岗位设置与职责</w:t>
      </w:r>
      <w:bookmarkEnd w:id="129"/>
      <w:bookmarkEnd w:id="130"/>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高校应当建立健全“统一领导、分级管理、责任到人”的科研管理体制，明确学校、院（系）、项目负责人在科研项目管理方面各自的职责和权限。</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高校应当建立健全科研项目归口管理制度，科研项目申报、科研项目任务书或科技合同的签订等应由学校科研管理部门归口管理，科研经费应由学校财务部门归口管理。</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高校应当合理设置科研项目管理岗位，确保项目申请、论证、立项审批、合同管理、经费管理等不相容岗位相互分离。</w:t>
      </w:r>
    </w:p>
    <w:p w:rsidR="00B532E3" w:rsidRDefault="00B532E3" w:rsidP="00984DDA">
      <w:pPr>
        <w:pStyle w:val="Heading2"/>
        <w:numPr>
          <w:ilvl w:val="0"/>
          <w:numId w:val="22"/>
        </w:numPr>
        <w:adjustRightInd w:val="0"/>
        <w:spacing w:beforeLines="100" w:after="0" w:line="240" w:lineRule="auto"/>
        <w:contextualSpacing/>
        <w:jc w:val="center"/>
        <w:rPr>
          <w:rFonts w:ascii="华文中宋" w:eastAsia="华文中宋" w:hAnsi="华文中宋"/>
          <w:b w:val="0"/>
        </w:rPr>
      </w:pPr>
      <w:r>
        <w:rPr>
          <w:rFonts w:ascii="华文中宋" w:eastAsia="华文中宋" w:hAnsi="华文中宋" w:hint="eastAsia"/>
          <w:b w:val="0"/>
        </w:rPr>
        <w:t>项目管理</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围绕学校事业发展规划，结合学校科研保障条件和科研能力，组织开展科研项目申报和科研合作。在选择具体科研项目时，应组织必要的可行性论证，确保科研方向准确、技术可行、预算合理、目标可实现，并要确保申请材料内容真实、准确。</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高校应按照《应用指南第</w:t>
      </w:r>
      <w:r>
        <w:rPr>
          <w:rFonts w:ascii="仿宋_GB2312" w:eastAsia="仿宋_GB2312" w:hAnsi="华文中宋"/>
          <w:sz w:val="32"/>
          <w:szCs w:val="30"/>
        </w:rPr>
        <w:t>7</w:t>
      </w:r>
      <w:r>
        <w:rPr>
          <w:rFonts w:ascii="仿宋_GB2312" w:eastAsia="仿宋_GB2312" w:hAnsi="华文中宋" w:hint="eastAsia"/>
          <w:sz w:val="32"/>
          <w:szCs w:val="30"/>
        </w:rPr>
        <w:t>号</w:t>
      </w:r>
      <w:r>
        <w:rPr>
          <w:rFonts w:ascii="仿宋_GB2312" w:eastAsia="仿宋_GB2312" w:hAnsi="华文中宋"/>
          <w:sz w:val="32"/>
          <w:szCs w:val="30"/>
        </w:rPr>
        <w:t>—</w:t>
      </w:r>
      <w:r>
        <w:rPr>
          <w:rFonts w:ascii="仿宋_GB2312" w:eastAsia="仿宋_GB2312" w:hAnsi="华文中宋" w:hint="eastAsia"/>
          <w:sz w:val="32"/>
          <w:szCs w:val="30"/>
        </w:rPr>
        <w:t>合同管理》加强科研项目的合同管理。科研项目任务书和科研合同应由科研管理部门归口审核与签订。重大科研项目合同或条款应组织财务、资产、法律等部门进行会审。</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加强对科研项目研究过程的管理，学校要依据项目合同（任务书）的预期目标和要求，督促科研人员按进度完成研究内容。对于涉及项目实施过程中研究目标、研究内容、研究进度和执行期、主要研究人员、合作单位等重大事项的变更，要组织专家论证，并按规定办理审批手续。</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高校应建立和完善项目检查和验收制度，应按有关规定或合同的要求，督促项目负责人按时提交验收或结题申请，认真审核验收材料，按时组织开展科研项目结项验收，保证按期完成结题验收工作。</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高校应规范科研项目资料档案管理。确保科研项目资料档案的完整性、准确性和系统性。并在符合国家相关规定的前提下，建立科研档案资料的共享机制。</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高校应注重成果与知识产权管理，积极创造条件，鼓励科研项目成果的保护、转化、应用及申报知识产权。建立健全知识产权申报、转让、使用信息登记制度，保障学校和研究人员的合法权益。</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高校应建立健全科研绩效评价制度。要建立以创新质量和贡献为导向的科研项目考核、评价和奖励制度，并通过合理运用绩效评价结果，激发科研人员的热情，提高科研经费使用效益。</w:t>
      </w:r>
    </w:p>
    <w:p w:rsidR="00B532E3" w:rsidRDefault="00B532E3" w:rsidP="00984DDA">
      <w:pPr>
        <w:pStyle w:val="Heading2"/>
        <w:numPr>
          <w:ilvl w:val="0"/>
          <w:numId w:val="22"/>
        </w:numPr>
        <w:adjustRightInd w:val="0"/>
        <w:spacing w:beforeLines="100" w:after="0" w:line="240" w:lineRule="auto"/>
        <w:contextualSpacing/>
        <w:jc w:val="center"/>
        <w:rPr>
          <w:rFonts w:ascii="华文中宋" w:eastAsia="华文中宋" w:hAnsi="华文中宋"/>
          <w:b w:val="0"/>
        </w:rPr>
      </w:pPr>
      <w:r>
        <w:rPr>
          <w:rFonts w:ascii="华文中宋" w:eastAsia="华文中宋" w:hAnsi="华文中宋" w:hint="eastAsia"/>
          <w:b w:val="0"/>
        </w:rPr>
        <w:t>资金管理</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高校所有科研项目资金应按《应用指南第</w:t>
      </w:r>
      <w:r>
        <w:rPr>
          <w:rFonts w:ascii="仿宋_GB2312" w:eastAsia="仿宋_GB2312" w:hAnsi="华文中宋"/>
          <w:sz w:val="32"/>
          <w:szCs w:val="30"/>
        </w:rPr>
        <w:t>5</w:t>
      </w:r>
      <w:r>
        <w:rPr>
          <w:rFonts w:ascii="仿宋_GB2312" w:eastAsia="仿宋_GB2312" w:hAnsi="华文中宋" w:hint="eastAsia"/>
          <w:sz w:val="32"/>
          <w:szCs w:val="30"/>
        </w:rPr>
        <w:t>号</w:t>
      </w:r>
      <w:r>
        <w:rPr>
          <w:rFonts w:ascii="仿宋_GB2312" w:eastAsia="仿宋_GB2312" w:hAnsi="华文中宋"/>
          <w:sz w:val="32"/>
          <w:szCs w:val="30"/>
        </w:rPr>
        <w:t>—</w:t>
      </w:r>
      <w:r>
        <w:rPr>
          <w:rFonts w:ascii="仿宋_GB2312" w:eastAsia="仿宋_GB2312" w:hAnsi="华文中宋" w:hint="eastAsia"/>
          <w:sz w:val="32"/>
          <w:szCs w:val="30"/>
        </w:rPr>
        <w:t>收入管理》的要求，作为学校收入纳入预算，由财务部门归口管理与核算。科研管理部门应及时将已批复或已签订的科研项目任务书或合同交财务处，以确保项目经费按时全额到位。项目负责人必须确保已开具收入票据的各类科研项目资金，及时拨入学校指定的银行账户。</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高校应加强科研项目预算编制、执行与调整的管理。科研项目申报前应按照目标相关性、政策相符性和经济合理性的原则，科学、合理、真实地编制项目预算。</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对于重大科研项目，学校应建立预算评审制度，组织校内相关职能部门、咨询专家或中介机构对项目预算进行评审，提出预算审核建议。</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科研项目立项后，高校应严格执行批复的项目预算。对于确需调整预算的科研项目，学校</w:t>
      </w:r>
      <w:r w:rsidRPr="006147F7">
        <w:rPr>
          <w:rFonts w:ascii="仿宋_GB2312" w:eastAsia="仿宋_GB2312" w:hAnsi="华文中宋" w:hint="eastAsia"/>
          <w:sz w:val="32"/>
          <w:szCs w:val="30"/>
        </w:rPr>
        <w:t>在规定权限范围内</w:t>
      </w:r>
      <w:r>
        <w:rPr>
          <w:rFonts w:ascii="仿宋_GB2312" w:eastAsia="仿宋_GB2312" w:hAnsi="华文中宋" w:hint="eastAsia"/>
          <w:sz w:val="32"/>
          <w:szCs w:val="30"/>
        </w:rPr>
        <w:t>应按规定明确项目预算调整范围、金额和审批流程及审批权限。</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高校应按《应用指南第</w:t>
      </w:r>
      <w:r>
        <w:rPr>
          <w:rFonts w:ascii="仿宋_GB2312" w:eastAsia="仿宋_GB2312" w:hAnsi="华文中宋"/>
          <w:sz w:val="32"/>
          <w:szCs w:val="30"/>
        </w:rPr>
        <w:t>6</w:t>
      </w:r>
      <w:r>
        <w:rPr>
          <w:rFonts w:ascii="仿宋_GB2312" w:eastAsia="仿宋_GB2312" w:hAnsi="华文中宋" w:hint="eastAsia"/>
          <w:sz w:val="32"/>
          <w:szCs w:val="30"/>
        </w:rPr>
        <w:t>号</w:t>
      </w:r>
      <w:r>
        <w:rPr>
          <w:rFonts w:ascii="仿宋_GB2312" w:eastAsia="仿宋_GB2312" w:hAnsi="华文中宋"/>
          <w:sz w:val="32"/>
          <w:szCs w:val="30"/>
        </w:rPr>
        <w:t>—</w:t>
      </w:r>
      <w:r>
        <w:rPr>
          <w:rFonts w:ascii="仿宋_GB2312" w:eastAsia="仿宋_GB2312" w:hAnsi="华文中宋" w:hint="eastAsia"/>
          <w:sz w:val="32"/>
          <w:szCs w:val="30"/>
        </w:rPr>
        <w:t>支出管理》的要求，完善与强化科研项目资金支出管理。严格执行科研项目支出预算，明确各类科研支出审批流程与权限。严格履行支出申请、审批、招标采购、资产验收等程序，按照经费开支范围和标准使用科研项目资金。</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高校应加强科研项目资金外拨业务的管理。应对科研合作单位资质进行审查，并按《应用指南第</w:t>
      </w:r>
      <w:r>
        <w:rPr>
          <w:rFonts w:ascii="仿宋_GB2312" w:eastAsia="仿宋_GB2312" w:hAnsi="华文中宋"/>
          <w:sz w:val="32"/>
          <w:szCs w:val="30"/>
        </w:rPr>
        <w:t>7</w:t>
      </w:r>
      <w:r>
        <w:rPr>
          <w:rFonts w:ascii="仿宋_GB2312" w:eastAsia="仿宋_GB2312" w:hAnsi="华文中宋" w:hint="eastAsia"/>
          <w:sz w:val="32"/>
          <w:szCs w:val="30"/>
        </w:rPr>
        <w:t>号</w:t>
      </w:r>
      <w:r>
        <w:rPr>
          <w:rFonts w:ascii="仿宋_GB2312" w:eastAsia="仿宋_GB2312" w:hAnsi="华文中宋"/>
          <w:sz w:val="32"/>
          <w:szCs w:val="30"/>
        </w:rPr>
        <w:t>—</w:t>
      </w:r>
      <w:r>
        <w:rPr>
          <w:rFonts w:ascii="仿宋_GB2312" w:eastAsia="仿宋_GB2312" w:hAnsi="华文中宋" w:hint="eastAsia"/>
          <w:sz w:val="32"/>
          <w:szCs w:val="30"/>
        </w:rPr>
        <w:t>合同管理》的要求，与通过资质审查的合作单位签订书面合作研究合同。科研项目外拨资金应当以合作（外协）项目合同为依据，严格按照合同约定的外拨经费额度、拨付方式、开户银行和账号等条款办理。</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加强科研项目结转结余资金的管理。科研项目未结项验收前，其资金收支余额应作为项目结转资金继续使用。项目验收结项后，高校应及时办理科研项目资金决算与结账手续，科研项目的结余资金应按规定及时处理。</w:t>
      </w:r>
    </w:p>
    <w:p w:rsidR="00B532E3" w:rsidRDefault="00B532E3">
      <w:pPr>
        <w:pStyle w:val="1"/>
        <w:numPr>
          <w:ilvl w:val="0"/>
          <w:numId w:val="23"/>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高校应建立健全科研经费的监督检查机制。健全包括审计、监察、财政、科技等学校职能部门，主管部门和社会中介机构在内的科研经费监督体系，建立科研项目的财务审计与财务验收制度。</w:t>
      </w:r>
      <w:r>
        <w:rPr>
          <w:rFonts w:ascii="仿宋_GB2312" w:eastAsia="仿宋_GB2312" w:hAnsi="华文中宋"/>
          <w:sz w:val="32"/>
          <w:szCs w:val="30"/>
        </w:rP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131" w:name="_Toc422131520"/>
      <w:bookmarkStart w:id="132" w:name="_Toc423337848"/>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11</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财政专项项目</w:t>
      </w:r>
      <w:bookmarkEnd w:id="131"/>
      <w:r>
        <w:rPr>
          <w:rFonts w:ascii="华文中宋" w:eastAsia="华文中宋" w:hAnsi="华文中宋" w:cs="宋体" w:hint="eastAsia"/>
          <w:kern w:val="0"/>
          <w:sz w:val="32"/>
          <w:szCs w:val="32"/>
        </w:rPr>
        <w:t>管理</w:t>
      </w:r>
      <w:bookmarkEnd w:id="132"/>
    </w:p>
    <w:p w:rsidR="00B532E3" w:rsidRDefault="00B532E3" w:rsidP="00984DDA">
      <w:pPr>
        <w:pStyle w:val="Heading2"/>
        <w:numPr>
          <w:ilvl w:val="0"/>
          <w:numId w:val="25"/>
        </w:numPr>
        <w:adjustRightInd w:val="0"/>
        <w:spacing w:beforeLines="100" w:after="0" w:line="240" w:lineRule="auto"/>
        <w:contextualSpacing/>
        <w:jc w:val="center"/>
        <w:rPr>
          <w:rFonts w:ascii="华文中宋" w:eastAsia="华文中宋" w:hAnsi="华文中宋"/>
          <w:b w:val="0"/>
        </w:rPr>
      </w:pPr>
      <w:bookmarkStart w:id="133" w:name="_Toc423337849"/>
      <w:bookmarkStart w:id="134" w:name="_Toc423337737"/>
      <w:r>
        <w:rPr>
          <w:rFonts w:ascii="华文中宋" w:eastAsia="华文中宋" w:hAnsi="华文中宋" w:hint="eastAsia"/>
          <w:b w:val="0"/>
        </w:rPr>
        <w:t>总则</w:t>
      </w:r>
      <w:bookmarkEnd w:id="133"/>
      <w:bookmarkEnd w:id="134"/>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财政专项项目，是指高校用中央高校改善基本办学条件、中央高校教育教学改革专项、中央高校基本科研业务费、中央高校建设世界一流大学（学科）和特色发展引导专项等财政专项资金开展的各类项目。</w:t>
      </w:r>
      <w:r w:rsidRPr="006147F7">
        <w:rPr>
          <w:rFonts w:ascii="仿宋_GB2312" w:eastAsia="仿宋_GB2312" w:hAnsi="华文中宋" w:hint="eastAsia"/>
          <w:sz w:val="32"/>
          <w:szCs w:val="30"/>
        </w:rPr>
        <w:t>高校承担的、纳入中央财政专项的其他科学研究项目，由《应用指南第</w:t>
      </w:r>
      <w:r w:rsidRPr="006147F7">
        <w:rPr>
          <w:rFonts w:ascii="仿宋_GB2312" w:eastAsia="仿宋_GB2312" w:hAnsi="华文中宋"/>
          <w:sz w:val="32"/>
          <w:szCs w:val="30"/>
        </w:rPr>
        <w:t>10</w:t>
      </w:r>
      <w:r w:rsidRPr="006147F7">
        <w:rPr>
          <w:rFonts w:ascii="仿宋_GB2312" w:eastAsia="仿宋_GB2312" w:hAnsi="华文中宋" w:hint="eastAsia"/>
          <w:sz w:val="32"/>
          <w:szCs w:val="30"/>
        </w:rPr>
        <w:t>号</w:t>
      </w:r>
      <w:r w:rsidRPr="006147F7">
        <w:rPr>
          <w:rFonts w:ascii="仿宋_GB2312" w:eastAsia="仿宋_GB2312" w:hAnsi="华文中宋"/>
          <w:sz w:val="32"/>
          <w:szCs w:val="30"/>
        </w:rPr>
        <w:t>—</w:t>
      </w:r>
      <w:r w:rsidRPr="006147F7">
        <w:rPr>
          <w:rFonts w:ascii="仿宋_GB2312" w:eastAsia="仿宋_GB2312" w:hAnsi="华文中宋" w:hint="eastAsia"/>
          <w:sz w:val="32"/>
          <w:szCs w:val="30"/>
        </w:rPr>
        <w:t>科研项目管理》规范。</w:t>
      </w:r>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高校财政专项项目管理应当重点关注下列风险：</w:t>
      </w:r>
    </w:p>
    <w:p w:rsidR="00B532E3" w:rsidRPr="00104130" w:rsidRDefault="00B532E3" w:rsidP="00B67698">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（一）在项目立项阶段，因立项程序不合规，项目论证、预算评审不充分，决策程序不合规等因素，导致项目重复立项，资金重复配置，</w:t>
      </w:r>
      <w:r w:rsidRPr="006147F7">
        <w:rPr>
          <w:rFonts w:ascii="仿宋_GB2312" w:eastAsia="仿宋_GB2312" w:hAnsi="仿宋" w:hint="eastAsia"/>
          <w:sz w:val="32"/>
          <w:szCs w:val="32"/>
        </w:rPr>
        <w:t>或应纳入财政专项资金支持的项目未及时列入，无法实现项目的预期建设目标。</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（二）在项目执行阶段，因违反制度规定，擅自变更项目内容、未按规定管理与使用专项资金或挪用资金，导致检查与验收不合格的风险；因项目执行不利，进度缓慢，导致项目资金不能按期使用的风险。</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（三）在项目验收阶段，因项目验收与绩效评价操作不规范、不严格，可能导致未达到绩效目标的风险。</w:t>
      </w:r>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各类财政专项项目的管理体制与制度，全面梳理各个环节可能存在的风险点，规范项目立项、项目建设，项目验收与项目绩效评价等环节的工作流程，强化项目全过程监控，确保项目建设取得成效。</w:t>
      </w:r>
    </w:p>
    <w:p w:rsidR="00B532E3" w:rsidRDefault="00B532E3" w:rsidP="00984DDA">
      <w:pPr>
        <w:pStyle w:val="Heading2"/>
        <w:numPr>
          <w:ilvl w:val="0"/>
          <w:numId w:val="25"/>
        </w:numPr>
        <w:adjustRightInd w:val="0"/>
        <w:spacing w:beforeLines="100" w:after="0" w:line="240" w:lineRule="auto"/>
        <w:contextualSpacing/>
        <w:jc w:val="center"/>
        <w:rPr>
          <w:rFonts w:ascii="华文中宋" w:eastAsia="华文中宋" w:hAnsi="华文中宋"/>
          <w:b w:val="0"/>
        </w:rPr>
      </w:pPr>
      <w:bookmarkStart w:id="135" w:name="_Toc423337850"/>
      <w:bookmarkStart w:id="136" w:name="_Toc423337738"/>
      <w:r>
        <w:rPr>
          <w:rFonts w:ascii="华文中宋" w:eastAsia="华文中宋" w:hAnsi="华文中宋" w:hint="eastAsia"/>
          <w:b w:val="0"/>
        </w:rPr>
        <w:t>岗位设置与职责</w:t>
      </w:r>
      <w:bookmarkEnd w:id="135"/>
      <w:bookmarkEnd w:id="136"/>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高校应当建立健全财政专项项目决策、执行与监督相互分工，相互制约的管理体制。按照不同类项目的特点与建设要求，明确各类项目的归口管理部门及其管理范围和职责。</w:t>
      </w:r>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高校应当建立健全项目关键岗位管理制度，按照不相容岗位分离原则合理设置岗位。项目管理的不相容岗位包括：项目立项与决策、预算编制与审核、项目招标与采购、项目实施与价款支付、项目验收与评价等。</w:t>
      </w:r>
    </w:p>
    <w:p w:rsidR="00B532E3" w:rsidRDefault="00B532E3" w:rsidP="00984DDA">
      <w:pPr>
        <w:pStyle w:val="Heading2"/>
        <w:numPr>
          <w:ilvl w:val="0"/>
          <w:numId w:val="25"/>
        </w:numPr>
        <w:adjustRightInd w:val="0"/>
        <w:spacing w:beforeLines="100" w:after="0" w:line="240" w:lineRule="auto"/>
        <w:contextualSpacing/>
        <w:jc w:val="center"/>
        <w:rPr>
          <w:rFonts w:ascii="华文中宋" w:eastAsia="华文中宋" w:hAnsi="华文中宋"/>
          <w:b w:val="0"/>
        </w:rPr>
      </w:pPr>
      <w:bookmarkStart w:id="137" w:name="_Toc423337851"/>
      <w:bookmarkStart w:id="138" w:name="_Toc423337739"/>
      <w:r>
        <w:rPr>
          <w:rFonts w:ascii="华文中宋" w:eastAsia="华文中宋" w:hAnsi="华文中宋" w:hint="eastAsia"/>
          <w:b w:val="0"/>
        </w:rPr>
        <w:t>项目</w:t>
      </w:r>
      <w:bookmarkEnd w:id="137"/>
      <w:bookmarkEnd w:id="138"/>
      <w:r>
        <w:rPr>
          <w:rFonts w:ascii="华文中宋" w:eastAsia="华文中宋" w:hAnsi="华文中宋" w:hint="eastAsia"/>
          <w:b w:val="0"/>
        </w:rPr>
        <w:t>立项</w:t>
      </w:r>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项目立项管理制度。根据学校事业发展规划，结合各类项财政专项资金投入方向，科学规范项目设置，避免重复立项与重复建设。应明确各类项目建设内容、建设重点，明确项目申请、评审、立项和审批程序。</w:t>
      </w:r>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高校应当建立项目评审制度，项目归口管理部门应当组织校内外专家，或委托具有相应资质的专业机构对拟立项项目进行论证与评审，并以此作为项目决策的重要依据。</w:t>
      </w:r>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高校应当健全与项目相关的议事决策机制，按照规定的权限和程序对项目进行授权决策，重大项目的立项，由学校集体研究决策。</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严禁任何人单独决策或者擅自改变集体决策意见。项目决策失误应当实行责任追究制度。</w:t>
      </w:r>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高校应当建立项目库管理制度，经立项、评审、决策的项目应当按要求纳入项目库，项目库实行动态管理，建立项目清理与退出机制。各高校应根据年度工作计划，按轻重缓急、择优遴选，进行合理排序。</w:t>
      </w:r>
      <w:r>
        <w:rPr>
          <w:rFonts w:ascii="仿宋_GB2312" w:eastAsia="仿宋_GB2312" w:hAnsi="华文中宋"/>
          <w:sz w:val="32"/>
          <w:szCs w:val="30"/>
        </w:rPr>
        <w:t xml:space="preserve"> </w:t>
      </w:r>
    </w:p>
    <w:p w:rsidR="00B532E3" w:rsidRDefault="00B532E3" w:rsidP="00984DDA">
      <w:pPr>
        <w:pStyle w:val="Heading2"/>
        <w:numPr>
          <w:ilvl w:val="0"/>
          <w:numId w:val="25"/>
        </w:numPr>
        <w:adjustRightInd w:val="0"/>
        <w:spacing w:beforeLines="100" w:after="0" w:line="240" w:lineRule="auto"/>
        <w:contextualSpacing/>
        <w:jc w:val="center"/>
        <w:rPr>
          <w:rFonts w:ascii="华文中宋" w:eastAsia="华文中宋" w:hAnsi="华文中宋"/>
          <w:b w:val="0"/>
        </w:rPr>
      </w:pPr>
      <w:bookmarkStart w:id="139" w:name="_Toc423337740"/>
      <w:bookmarkStart w:id="140" w:name="_Toc423337852"/>
      <w:r>
        <w:rPr>
          <w:rFonts w:ascii="华文中宋" w:eastAsia="华文中宋" w:hAnsi="华文中宋" w:hint="eastAsia"/>
          <w:b w:val="0"/>
        </w:rPr>
        <w:t>项目实施</w:t>
      </w:r>
      <w:bookmarkEnd w:id="139"/>
      <w:bookmarkEnd w:id="140"/>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高校应当加强对项目实施过程的监控，各归口管理部门应加强人员配备，保障资金，落实责任，积极跟踪和推进项目实施进度，确保项目按时实现预定建设目标。</w:t>
      </w:r>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高校财务管理部门应当按照项目批复及时下达预算，加强项目预算控制，确保支出内容与项目内容的一致性。防止截留、挪用和超预算、超批复内容使用资金。</w:t>
      </w:r>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高校应当建立健全项目管理机制，在项目实施过程中，如发生项目变更、终止的，必须按照规定的程序报批，并根据批复进行相应的调整。</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重大的项目变更应当按照项目决策和预算管理的有关程序和要求重新履行审批手续。</w:t>
      </w:r>
    </w:p>
    <w:p w:rsidR="00B532E3" w:rsidRDefault="00B532E3" w:rsidP="00984DDA">
      <w:pPr>
        <w:pStyle w:val="Heading2"/>
        <w:numPr>
          <w:ilvl w:val="0"/>
          <w:numId w:val="25"/>
        </w:numPr>
        <w:adjustRightInd w:val="0"/>
        <w:spacing w:beforeLines="100" w:after="0" w:line="240" w:lineRule="auto"/>
        <w:contextualSpacing/>
        <w:jc w:val="center"/>
        <w:rPr>
          <w:rFonts w:ascii="华文中宋" w:eastAsia="华文中宋" w:hAnsi="华文中宋"/>
          <w:b w:val="0"/>
        </w:rPr>
      </w:pPr>
      <w:bookmarkStart w:id="141" w:name="_Toc423337741"/>
      <w:bookmarkStart w:id="142" w:name="_Toc423337853"/>
      <w:r>
        <w:rPr>
          <w:rFonts w:ascii="华文中宋" w:eastAsia="华文中宋" w:hAnsi="华文中宋" w:hint="eastAsia"/>
          <w:b w:val="0"/>
        </w:rPr>
        <w:t>项目绩效评价</w:t>
      </w:r>
      <w:bookmarkEnd w:id="141"/>
      <w:bookmarkEnd w:id="142"/>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高校应当按规定制定项目绩效评价实施办法，做好项目绩效评价工作，并注重对评价结果的应用，建立追责问效和奖惩机制。</w:t>
      </w:r>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高校应当制定项目绩效评价结果的信息公开制度，将项目绩效评价结果在一定范围内公开。</w:t>
      </w:r>
    </w:p>
    <w:p w:rsidR="00B532E3" w:rsidRDefault="00B532E3" w:rsidP="00984DDA">
      <w:pPr>
        <w:pStyle w:val="Heading2"/>
        <w:numPr>
          <w:ilvl w:val="0"/>
          <w:numId w:val="25"/>
        </w:numPr>
        <w:adjustRightInd w:val="0"/>
        <w:spacing w:beforeLines="100" w:after="0" w:line="240" w:lineRule="auto"/>
        <w:contextualSpacing/>
        <w:jc w:val="center"/>
        <w:rPr>
          <w:rFonts w:ascii="华文中宋" w:eastAsia="华文中宋" w:hAnsi="华文中宋"/>
          <w:b w:val="0"/>
        </w:rPr>
      </w:pPr>
      <w:bookmarkStart w:id="143" w:name="_Toc423337742"/>
      <w:bookmarkStart w:id="144" w:name="_Toc423337854"/>
      <w:r>
        <w:rPr>
          <w:rFonts w:ascii="华文中宋" w:eastAsia="华文中宋" w:hAnsi="华文中宋" w:hint="eastAsia"/>
          <w:b w:val="0"/>
        </w:rPr>
        <w:t>监督检查与验收</w:t>
      </w:r>
      <w:bookmarkEnd w:id="143"/>
      <w:bookmarkEnd w:id="144"/>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高校应当建立健全项目的监督检查和验收制度，对项目实施的全过程和完成结果进行监督、检查与验收。</w:t>
      </w:r>
    </w:p>
    <w:p w:rsidR="00B532E3" w:rsidRDefault="00B532E3">
      <w:pPr>
        <w:pStyle w:val="1"/>
        <w:numPr>
          <w:ilvl w:val="0"/>
          <w:numId w:val="2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高校应按规定建立项目档案管理制度，及时收集、整理项目立项、论证、中期检查与项目验收、绩效评价等各环节的文件资料，保障项目档案的完整性、规范性。</w:t>
      </w:r>
    </w:p>
    <w:p w:rsidR="00B532E3" w:rsidRDefault="00B532E3">
      <w:pPr>
        <w:widowControl/>
        <w:contextualSpacing/>
        <w:jc w:val="center"/>
        <w:rPr>
          <w:rFonts w:ascii="华文中宋" w:eastAsia="华文中宋" w:hAnsi="华文中宋" w:cs="宋体"/>
          <w:kern w:val="0"/>
          <w:sz w:val="32"/>
          <w:szCs w:val="32"/>
          <w:highlight w:val="yellow"/>
        </w:rPr>
      </w:pPr>
      <w:r>
        <w:rPr>
          <w:rFonts w:ascii="仿宋_GB2312" w:eastAsia="仿宋_GB2312"/>
        </w:rPr>
        <w:br w:type="page"/>
      </w:r>
      <w:bookmarkStart w:id="145" w:name="_Toc422131521"/>
      <w:bookmarkStart w:id="146" w:name="_Toc423337855"/>
      <w:r w:rsidRPr="00B67698">
        <w:rPr>
          <w:rFonts w:ascii="华文中宋" w:eastAsia="华文中宋" w:hAnsi="华文中宋" w:cs="宋体" w:hint="eastAsia"/>
          <w:kern w:val="0"/>
          <w:sz w:val="32"/>
          <w:szCs w:val="32"/>
        </w:rPr>
        <w:t>第</w:t>
      </w:r>
      <w:r>
        <w:rPr>
          <w:rFonts w:ascii="华文中宋" w:eastAsia="华文中宋" w:hAnsi="华文中宋" w:cs="宋体"/>
          <w:kern w:val="0"/>
          <w:sz w:val="32"/>
          <w:szCs w:val="32"/>
        </w:rPr>
        <w:t>12</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经济活动信息化</w:t>
      </w:r>
      <w:bookmarkEnd w:id="145"/>
      <w:r>
        <w:rPr>
          <w:rFonts w:ascii="华文中宋" w:eastAsia="华文中宋" w:hAnsi="华文中宋" w:cs="宋体" w:hint="eastAsia"/>
          <w:kern w:val="0"/>
          <w:sz w:val="32"/>
          <w:szCs w:val="32"/>
        </w:rPr>
        <w:t>管理</w:t>
      </w:r>
      <w:bookmarkEnd w:id="146"/>
    </w:p>
    <w:p w:rsidR="00B532E3" w:rsidRDefault="00B532E3" w:rsidP="00984DDA">
      <w:pPr>
        <w:pStyle w:val="Heading2"/>
        <w:numPr>
          <w:ilvl w:val="0"/>
          <w:numId w:val="27"/>
        </w:numPr>
        <w:adjustRightInd w:val="0"/>
        <w:spacing w:beforeLines="100" w:after="0" w:line="240" w:lineRule="auto"/>
        <w:contextualSpacing/>
        <w:jc w:val="center"/>
        <w:rPr>
          <w:rFonts w:ascii="华文中宋" w:eastAsia="华文中宋" w:hAnsi="华文中宋"/>
          <w:b w:val="0"/>
        </w:rPr>
      </w:pPr>
      <w:bookmarkStart w:id="147" w:name="_Toc423337856"/>
      <w:r>
        <w:rPr>
          <w:rFonts w:ascii="华文中宋" w:eastAsia="华文中宋" w:hAnsi="华文中宋" w:hint="eastAsia"/>
          <w:b w:val="0"/>
        </w:rPr>
        <w:t>总则</w:t>
      </w:r>
      <w:bookmarkEnd w:id="147"/>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经济活动信息化，是指高校运用现代信息技术手段，将经济活动的主要流程、关键环节嵌入学校管理信息系统，减少或消除人为操纵因素，实现对经济业务和与经济业务相关事项的风险进行更有效控制的过程。</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高校经济活动的信息化应当重点关注下列风险：</w:t>
      </w:r>
    </w:p>
    <w:p w:rsidR="00B532E3" w:rsidRDefault="00B532E3">
      <w:pPr>
        <w:widowControl/>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（一）与经济活动相关的各信息系统间缺乏统一规划和归口管理，缺乏有效整合，存在重复建设或真空区域，导致管理效率低下。</w:t>
      </w:r>
    </w:p>
    <w:p w:rsidR="00B532E3" w:rsidRDefault="00B532E3">
      <w:pPr>
        <w:widowControl/>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（二）与经济活动相关的各业务信息系统的实施与内部控制流程结合不紧密，权限设置与授权管理不当，可能导致无法利用信息技术实现对经济活动的有效控制。</w:t>
      </w:r>
    </w:p>
    <w:p w:rsidR="00B532E3" w:rsidRDefault="00B532E3">
      <w:pPr>
        <w:widowControl/>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（三）与经济活动相关的各信息系统间业务协同程度低、缺乏基础数据的标准化，造成数据无法共享，影响数据分析的准确性，可能导致决策失误、相关管理措施难以落实。</w:t>
      </w:r>
    </w:p>
    <w:p w:rsidR="00B532E3" w:rsidRDefault="00B532E3">
      <w:pPr>
        <w:widowControl/>
        <w:ind w:firstLineChars="200" w:firstLine="640"/>
        <w:contextualSpacing/>
        <w:rPr>
          <w:rFonts w:ascii="仿宋_GB2312" w:eastAsia="仿宋_GB2312" w:hAnsi="仿宋" w:cs="宋体"/>
          <w:b/>
          <w:kern w:val="0"/>
          <w:sz w:val="32"/>
          <w:szCs w:val="32"/>
        </w:rPr>
      </w:pPr>
      <w:r>
        <w:rPr>
          <w:rFonts w:ascii="仿宋_GB2312" w:eastAsia="仿宋_GB2312" w:hAnsi="仿宋" w:cs="宋体" w:hint="eastAsia"/>
          <w:kern w:val="0"/>
          <w:sz w:val="32"/>
          <w:szCs w:val="32"/>
        </w:rPr>
        <w:t>（四）信息系统的安全保障不到位，可能导致信息泄漏或毁损，系统无法正常运行，影响高校经济活动的正常开展。</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经济活动信息化应根据事业发展需要，全面评估经济活动各环节的信息化程度，统筹规划，有序开发，将经济活动及其内部控制流程全面嵌入信息系统；制定符合内部控制要求的标准化规范，促进业务协同，确保内部控制环节健全，内部控制流程通畅。</w:t>
      </w:r>
    </w:p>
    <w:p w:rsidR="00B532E3" w:rsidRDefault="00B532E3" w:rsidP="00984DDA">
      <w:pPr>
        <w:pStyle w:val="Heading2"/>
        <w:numPr>
          <w:ilvl w:val="0"/>
          <w:numId w:val="27"/>
        </w:numPr>
        <w:adjustRightInd w:val="0"/>
        <w:spacing w:beforeLines="100" w:after="0" w:line="240" w:lineRule="auto"/>
        <w:contextualSpacing/>
        <w:jc w:val="center"/>
        <w:rPr>
          <w:rFonts w:ascii="华文中宋" w:eastAsia="华文中宋" w:hAnsi="华文中宋"/>
          <w:b w:val="0"/>
        </w:rPr>
      </w:pPr>
      <w:bookmarkStart w:id="148" w:name="_Toc423337857"/>
      <w:r>
        <w:rPr>
          <w:rFonts w:ascii="华文中宋" w:eastAsia="华文中宋" w:hAnsi="华文中宋" w:hint="eastAsia"/>
          <w:b w:val="0"/>
        </w:rPr>
        <w:t>岗位设置和职责</w:t>
      </w:r>
      <w:bookmarkEnd w:id="148"/>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经济活动信息化建设应纳入学校管理信息系统的统一规划，对各类经济活动涉及的信息系统实施归口管理。归口管理部门应在学校信息化总体规划的框架下，负责完成不同经济活动信息系统间的协同建设、对接与整合工作。</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设立专门的信息化技术支撑部门，具体负责与经济活动相关的各类信息系统的开发、运行、维护和安全保障。负责建立统一规范的数据共享平台，负责统一与经济活动相关信息系统间的数据标准，实现各系统间数据共享。</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高校经济活动涉及的财务、人事、教务、科研、资产等主要业务管理部门具体负责本部门信息系统建设、实施和维护；并负责将本部门信息系统纳入归口管理部门的统一管理与协调之内；</w:t>
      </w:r>
      <w:bookmarkStart w:id="149" w:name="OLE_LINK7"/>
      <w:r>
        <w:rPr>
          <w:rFonts w:ascii="仿宋_GB2312" w:eastAsia="仿宋_GB2312" w:hAnsi="华文中宋" w:hint="eastAsia"/>
          <w:sz w:val="32"/>
          <w:szCs w:val="30"/>
        </w:rPr>
        <w:t>负责本部门涉及的数据和接口符合标准化要求。</w:t>
      </w:r>
    </w:p>
    <w:bookmarkEnd w:id="149"/>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高校在经济活动信息化建设中，应明确不相容部门的职责，建立归口管理部门、技术支撑部门、业务管理部门相互合作与制约的工作机制。</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高校经济活动信息化建设工作中，信息系统规划论证与审批，运行维护与系统监控，系统设计开发与系统验收等为不相容岗位。</w:t>
      </w:r>
    </w:p>
    <w:p w:rsidR="00B532E3" w:rsidRDefault="00B532E3" w:rsidP="00984DDA">
      <w:pPr>
        <w:pStyle w:val="Heading2"/>
        <w:numPr>
          <w:ilvl w:val="0"/>
          <w:numId w:val="27"/>
        </w:numPr>
        <w:adjustRightInd w:val="0"/>
        <w:spacing w:beforeLines="100" w:after="0" w:line="240" w:lineRule="auto"/>
        <w:contextualSpacing/>
        <w:jc w:val="center"/>
        <w:rPr>
          <w:rFonts w:ascii="华文中宋" w:eastAsia="华文中宋" w:hAnsi="华文中宋"/>
          <w:b w:val="0"/>
        </w:rPr>
      </w:pPr>
      <w:bookmarkStart w:id="150" w:name="_Toc423337858"/>
      <w:r>
        <w:rPr>
          <w:rFonts w:ascii="华文中宋" w:eastAsia="华文中宋" w:hAnsi="华文中宋" w:hint="eastAsia"/>
          <w:b w:val="0"/>
        </w:rPr>
        <w:t>标准化建设</w:t>
      </w:r>
      <w:bookmarkEnd w:id="150"/>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高校应当规范各类经济活动的业务流程，理清业务流程所涉及的岗位职责，同时兼顾成本与效益原则，将业务流程的关键环节合理地嵌入信息系统中。</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信息系统归口管理部门应当制定统一的数据共享与交互标准。各经济活动信息系统应当按统一标准建设以实现数据共享与交互。对于时效性要求较高的数据，应当采用实时共享或交互模式，并加强其准确性管理，发生错误时应及时有效地纠正。</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高校经济活动信息化过程中，相关部门及人员应当在业务流程中严格按照自身岗位操作规范要求，遵守相关业务流程标准及数据标准，并承担相应的责任。</w:t>
      </w:r>
    </w:p>
    <w:p w:rsidR="00B532E3" w:rsidRDefault="00B532E3" w:rsidP="00984DDA">
      <w:pPr>
        <w:pStyle w:val="Heading2"/>
        <w:numPr>
          <w:ilvl w:val="0"/>
          <w:numId w:val="27"/>
        </w:numPr>
        <w:adjustRightInd w:val="0"/>
        <w:spacing w:beforeLines="100" w:after="0" w:line="240" w:lineRule="auto"/>
        <w:contextualSpacing/>
        <w:jc w:val="center"/>
        <w:rPr>
          <w:rFonts w:ascii="华文中宋" w:eastAsia="华文中宋" w:hAnsi="华文中宋"/>
          <w:b w:val="0"/>
        </w:rPr>
      </w:pPr>
      <w:bookmarkStart w:id="151" w:name="_Toc423337859"/>
      <w:r>
        <w:rPr>
          <w:rFonts w:ascii="华文中宋" w:eastAsia="华文中宋" w:hAnsi="华文中宋" w:hint="eastAsia"/>
          <w:b w:val="0"/>
        </w:rPr>
        <w:t>系统规划与设计开发</w:t>
      </w:r>
      <w:bookmarkEnd w:id="151"/>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从全局角度对经济活动（包括资产、财务、审计、采购、基建、工程、合同等）的信息化建设进行整体规划，充分考虑经济活动内部控制环节及未来业务发展变化，在整体框架下，进一步优化已有信息系统，及时开发业务需要的新系统，实现不同系统间的信息共享，提高工作效率，防范风险。</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高校开发经济活动信息系统，可以采取部门自行开发、校内多部门联合开发、直接外购商业软件、委托外单位定制开发等方式。高校应当充分评估选定方式的开发及维护风险，并做好风险处理预案。</w:t>
      </w:r>
    </w:p>
    <w:p w:rsidR="00B532E3" w:rsidRDefault="00B532E3">
      <w:pPr>
        <w:widowControl/>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选定外购商业软件、委托外单位定制开发方式的，应当按规定择优确定供应商或开发单位。</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高校应当建立信息系统验收及上线运行机制。</w:t>
      </w:r>
    </w:p>
    <w:p w:rsidR="00B532E3" w:rsidRDefault="00B532E3">
      <w:pPr>
        <w:widowControl/>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高校应组织专家评审小组联合经济活动相关业务部门对信息系统进行测试、评估、验收。涉及到新旧系统切换的，应制定详细的数据迁移计划，建立应急预案，确保新旧系统顺利切换和平稳衔接。</w:t>
      </w:r>
    </w:p>
    <w:p w:rsidR="00B532E3" w:rsidRDefault="00B532E3">
      <w:pPr>
        <w:widowControl/>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经济活动相关业务部门应对经办人员进行全面的培训，以保证数据录入的真实性、及时性和完整性，避免人为操作风险。</w:t>
      </w:r>
    </w:p>
    <w:p w:rsidR="00B532E3" w:rsidRDefault="00B532E3" w:rsidP="00984DDA">
      <w:pPr>
        <w:pStyle w:val="Heading2"/>
        <w:numPr>
          <w:ilvl w:val="0"/>
          <w:numId w:val="27"/>
        </w:numPr>
        <w:adjustRightInd w:val="0"/>
        <w:spacing w:beforeLines="100" w:after="0" w:line="240" w:lineRule="auto"/>
        <w:contextualSpacing/>
        <w:jc w:val="center"/>
        <w:rPr>
          <w:rFonts w:ascii="华文中宋" w:eastAsia="华文中宋" w:hAnsi="华文中宋"/>
          <w:b w:val="0"/>
        </w:rPr>
      </w:pPr>
      <w:bookmarkStart w:id="152" w:name="_Toc423337860"/>
      <w:r>
        <w:rPr>
          <w:rFonts w:ascii="华文中宋" w:eastAsia="华文中宋" w:hAnsi="华文中宋" w:hint="eastAsia"/>
          <w:b w:val="0"/>
        </w:rPr>
        <w:t>系统运行与维护</w:t>
      </w:r>
      <w:bookmarkEnd w:id="152"/>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根据业务性质、重要性程度、涉密情况等确定信息系统的安全等级，建立不同等级信息的授权使用制度，实行严格的授权管理、授权申请及审批。各岗位权限应合理控制并相互制约，严禁设置全功能的超级用户，严格控制系统维护的临时用户。所有操作人员应在权限范围内进行操作，并对本人的账号、密码严格保密。</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高校应建立技术支撑部门和业务管理部门两级维护机制，对信息系统进行定期维护。</w:t>
      </w:r>
    </w:p>
    <w:p w:rsidR="00B532E3" w:rsidRDefault="00B532E3">
      <w:pPr>
        <w:widowControl/>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技术支撑部门负责信息系统的一般维护，及时对计算机硬件和通讯设备进行检修，积极采取预防性措施，确保系统运行环境的稳定性。业务管理部门负责系统数据的更新和检查，确保数据的及时性、准确性和完备性。要有定期维护制度，并做好运行维护记录和应急事故处理记录。</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高校经济活动信息化建设应根据学校经济活动实际管理和相关部门业务变更等要求及时进行升级改造。升级改造需注重实用性和兼容性，避免出现各部门重复建设的浪费现象。</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高校应运用信息化管理工具对系统的合理性，数据的准确性，操作的规范性进行监控和反馈。系统升级改造、数据更新和有关经济活动关键环节的系统操作应当自动保存不可删除的可追溯的记录。</w:t>
      </w:r>
    </w:p>
    <w:p w:rsidR="00B532E3" w:rsidRDefault="00B532E3" w:rsidP="00984DDA">
      <w:pPr>
        <w:pStyle w:val="Heading2"/>
        <w:numPr>
          <w:ilvl w:val="0"/>
          <w:numId w:val="27"/>
        </w:numPr>
        <w:adjustRightInd w:val="0"/>
        <w:spacing w:beforeLines="100" w:after="0" w:line="240" w:lineRule="auto"/>
        <w:contextualSpacing/>
        <w:jc w:val="center"/>
        <w:rPr>
          <w:rFonts w:ascii="华文中宋" w:eastAsia="华文中宋" w:hAnsi="华文中宋"/>
          <w:b w:val="0"/>
        </w:rPr>
      </w:pPr>
      <w:bookmarkStart w:id="153" w:name="_Toc423337861"/>
      <w:r>
        <w:rPr>
          <w:rFonts w:ascii="华文中宋" w:eastAsia="华文中宋" w:hAnsi="华文中宋" w:hint="eastAsia"/>
          <w:b w:val="0"/>
        </w:rPr>
        <w:t>安全保障</w:t>
      </w:r>
      <w:bookmarkEnd w:id="153"/>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服务器托管机制，设立统一集成的服务器管理中心，由技术支撑部门负责统一管理和维护。经济活动相关的各业务部门负责维护本部门的客户端机器及相关设备，确保相关物理环境能够达到要求，并指定专人负责检查和及时处理异常情况。</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明确数据备份范围、频度、方法、责任人、存放地点、有效性检查等内容，根据各类经济活动的业务要求选择适当的备份频度备份系统数据，备份周期最长不得超过一个月。备份数据应当做到异地存放，责任人应当定期检查备份数据是否正常可用。</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适当建立局域网运行环境安全管理机制。保密要求较高的信息系统，应当通过相对独立的局域网运行，严格管理局域网内的服务器、客户端、网络设备等相关硬件，不得安装接入与信息系统无关的软硬件设备，并定期检测局域网内病毒等恶意软件。</w:t>
      </w:r>
    </w:p>
    <w:p w:rsidR="00B532E3" w:rsidRDefault="00B532E3">
      <w:pPr>
        <w:pStyle w:val="1"/>
        <w:numPr>
          <w:ilvl w:val="0"/>
          <w:numId w:val="28"/>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有效的网络安全机制。可以利用防火墙、路由器等网络设备，使用访问授权控制等方式，加强网络安全。在符合保密规定前提下，可以引入拥有相关资质的第三方专业机构对高校网络安全进行定期检测。</w:t>
      </w:r>
    </w:p>
    <w:p w:rsidR="00B532E3" w:rsidRDefault="00B532E3">
      <w:pPr>
        <w:widowControl/>
        <w:ind w:firstLineChars="200" w:firstLine="640"/>
        <w:contextualSpacing/>
        <w:rPr>
          <w:rFonts w:ascii="仿宋_GB2312" w:eastAsia="仿宋_GB2312" w:hAnsi="仿宋" w:cs="宋体"/>
          <w:kern w:val="0"/>
          <w:sz w:val="32"/>
          <w:szCs w:val="32"/>
        </w:rPr>
      </w:pPr>
      <w:r>
        <w:rPr>
          <w:rFonts w:ascii="仿宋_GB2312" w:eastAsia="仿宋_GB2312" w:hAnsi="仿宋" w:cs="宋体" w:hint="eastAsia"/>
          <w:kern w:val="0"/>
          <w:sz w:val="32"/>
          <w:szCs w:val="32"/>
        </w:rPr>
        <w:t>对于通过网络传输的涉密或关键数据，高校应当通过加密验证等方式，加强各部门间数据共享接口的安全管理，防止相关数据接口被非法访问，确保信息传递的保密性、准确性和完整性。</w:t>
      </w:r>
    </w:p>
    <w:p w:rsidR="00B532E3" w:rsidRDefault="00B532E3">
      <w:pPr>
        <w:widowControl/>
        <w:contextualSpacing/>
        <w:jc w:val="left"/>
        <w:rPr>
          <w:rFonts w:ascii="仿宋_GB2312" w:eastAsia="仿宋_GB2312" w:hAnsi="仿宋" w:cs="宋体"/>
          <w:kern w:val="0"/>
          <w:sz w:val="32"/>
          <w:szCs w:val="32"/>
        </w:rPr>
      </w:pPr>
      <w:r>
        <w:rPr>
          <w:rFonts w:ascii="仿宋_GB2312" w:eastAsia="仿宋_GB2312" w:hAnsi="仿宋" w:cs="宋体"/>
          <w:kern w:val="0"/>
          <w:sz w:val="32"/>
          <w:szCs w:val="32"/>
        </w:rP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154" w:name="_Toc423337862"/>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13</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所属企业管理</w:t>
      </w:r>
      <w:bookmarkEnd w:id="154"/>
    </w:p>
    <w:p w:rsidR="00B532E3" w:rsidRDefault="00B532E3" w:rsidP="00984DDA">
      <w:pPr>
        <w:pStyle w:val="Heading2"/>
        <w:numPr>
          <w:ilvl w:val="0"/>
          <w:numId w:val="29"/>
        </w:numPr>
        <w:adjustRightInd w:val="0"/>
        <w:spacing w:beforeLines="100" w:after="0" w:line="240" w:lineRule="auto"/>
        <w:contextualSpacing/>
        <w:jc w:val="center"/>
        <w:rPr>
          <w:rFonts w:ascii="华文中宋" w:eastAsia="华文中宋" w:hAnsi="华文中宋"/>
          <w:b w:val="0"/>
        </w:rPr>
      </w:pPr>
      <w:bookmarkStart w:id="155" w:name="_Toc423337863"/>
      <w:r>
        <w:rPr>
          <w:rFonts w:ascii="华文中宋" w:eastAsia="华文中宋" w:hAnsi="华文中宋" w:hint="eastAsia"/>
          <w:b w:val="0"/>
        </w:rPr>
        <w:t>总则</w:t>
      </w:r>
      <w:bookmarkEnd w:id="155"/>
    </w:p>
    <w:p w:rsidR="00B532E3" w:rsidRDefault="00B532E3">
      <w:pPr>
        <w:pStyle w:val="1"/>
        <w:numPr>
          <w:ilvl w:val="0"/>
          <w:numId w:val="30"/>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本指南所称所属企业，是指高校投资设立的国有独资企业、国有独资公司、国有资本控股公司和国有资本参股公司及其各级子企业。</w:t>
      </w:r>
    </w:p>
    <w:p w:rsidR="00B532E3" w:rsidRDefault="00B532E3">
      <w:pPr>
        <w:pStyle w:val="1"/>
        <w:numPr>
          <w:ilvl w:val="0"/>
          <w:numId w:val="30"/>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高校对于所属企业经济活动的内部控制应当重点关注以下风险：</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（一）所属企业的内部控制体系不健全或者存在重大缺陷，可能导致所属企业内部管理混乱，影响所属企业正常运行，高校因此遭受经济损失，无法实现国有资产的保值增值，以及由此可能承担监管或连带责任。</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仿宋" w:hint="eastAsia"/>
          <w:sz w:val="32"/>
          <w:szCs w:val="32"/>
        </w:rPr>
        <w:t>（二）所属企业</w:t>
      </w:r>
      <w:r>
        <w:rPr>
          <w:rFonts w:ascii="仿宋_GB2312" w:eastAsia="仿宋_GB2312" w:hAnsi="华文中宋" w:hint="eastAsia"/>
          <w:sz w:val="32"/>
          <w:szCs w:val="30"/>
        </w:rPr>
        <w:t>在资产、资金使用、工程项目、合同管理、采购等业务方面的内部控制体系不健全或者存在重大缺陷，可能发生腐败和舞弊问题，高校因此承担监管责任或承受经济损失。</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（三）高校未采取切实有效措施对所属企业经济活动进行控制，或者未切实履行出资人职责，可能导致未及时发现所属企业经济活动中存在的问题，由此而承担监管责任或连带责任。</w:t>
      </w:r>
    </w:p>
    <w:p w:rsidR="00B532E3" w:rsidRDefault="00B532E3">
      <w:pPr>
        <w:pStyle w:val="1"/>
        <w:numPr>
          <w:ilvl w:val="0"/>
          <w:numId w:val="30"/>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高校应当建立健全对所属企业的管理体制和制度，明确归口管理部门及其职责，并依照有关法律、法规、公司章程或投资协议的规定，采取切实有效措施履行出资人职责，维护出资人权益。</w:t>
      </w:r>
    </w:p>
    <w:p w:rsidR="00B532E3" w:rsidRDefault="00B532E3" w:rsidP="00984DDA">
      <w:pPr>
        <w:pStyle w:val="Heading2"/>
        <w:numPr>
          <w:ilvl w:val="0"/>
          <w:numId w:val="29"/>
        </w:numPr>
        <w:adjustRightInd w:val="0"/>
        <w:spacing w:beforeLines="100" w:after="0" w:line="240" w:lineRule="auto"/>
        <w:contextualSpacing/>
        <w:jc w:val="center"/>
        <w:rPr>
          <w:rFonts w:ascii="华文中宋" w:eastAsia="华文中宋" w:hAnsi="华文中宋"/>
          <w:b w:val="0"/>
        </w:rPr>
      </w:pPr>
      <w:r>
        <w:rPr>
          <w:rFonts w:ascii="华文中宋" w:eastAsia="华文中宋" w:hAnsi="华文中宋" w:hint="eastAsia"/>
          <w:b w:val="0"/>
        </w:rPr>
        <w:t>岗位设置与职责</w:t>
      </w:r>
    </w:p>
    <w:p w:rsidR="00B532E3" w:rsidRDefault="00B532E3">
      <w:pPr>
        <w:pStyle w:val="1"/>
        <w:numPr>
          <w:ilvl w:val="0"/>
          <w:numId w:val="30"/>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学校应当按照《应用指南第</w:t>
      </w:r>
      <w:r>
        <w:rPr>
          <w:rFonts w:ascii="仿宋_GB2312" w:eastAsia="仿宋_GB2312" w:hAnsi="华文中宋"/>
          <w:sz w:val="32"/>
          <w:szCs w:val="30"/>
        </w:rPr>
        <w:t>3</w:t>
      </w:r>
      <w:r>
        <w:rPr>
          <w:rFonts w:ascii="仿宋_GB2312" w:eastAsia="仿宋_GB2312" w:hAnsi="华文中宋" w:hint="eastAsia"/>
          <w:sz w:val="32"/>
          <w:szCs w:val="30"/>
        </w:rPr>
        <w:t>号</w:t>
      </w:r>
      <w:r>
        <w:rPr>
          <w:rFonts w:ascii="仿宋_GB2312" w:eastAsia="仿宋_GB2312" w:hAnsi="华文中宋"/>
          <w:sz w:val="32"/>
          <w:szCs w:val="30"/>
        </w:rPr>
        <w:t>—</w:t>
      </w:r>
      <w:r>
        <w:rPr>
          <w:rFonts w:ascii="仿宋_GB2312" w:eastAsia="仿宋_GB2312" w:hAnsi="华文中宋" w:hint="eastAsia"/>
          <w:sz w:val="32"/>
          <w:szCs w:val="30"/>
        </w:rPr>
        <w:t>资产管理》的规定，加强对学校对外投资行为的管理，建立健全学校对外投资管理决策、执行和监督相互分离，相互制约的管理体制。</w:t>
      </w:r>
    </w:p>
    <w:p w:rsidR="00B532E3" w:rsidRDefault="00B532E3">
      <w:pPr>
        <w:pStyle w:val="1"/>
        <w:numPr>
          <w:ilvl w:val="0"/>
          <w:numId w:val="30"/>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学校应当设立国有资产管理委员会或类似机构代表学校对所属企业行使出资人职能。应明确管理所属企业的归口管理部门及其职责与权限。应合理设置归口管理部门的岗位，确保相关不相容岗位相互分离、相互制约。</w:t>
      </w:r>
    </w:p>
    <w:p w:rsidR="00B532E3" w:rsidRDefault="00B532E3" w:rsidP="00984DDA">
      <w:pPr>
        <w:pStyle w:val="Heading2"/>
        <w:numPr>
          <w:ilvl w:val="0"/>
          <w:numId w:val="29"/>
        </w:numPr>
        <w:adjustRightInd w:val="0"/>
        <w:spacing w:beforeLines="100" w:after="0" w:line="240" w:lineRule="auto"/>
        <w:contextualSpacing/>
        <w:jc w:val="center"/>
        <w:rPr>
          <w:rFonts w:ascii="华文中宋" w:eastAsia="华文中宋" w:hAnsi="华文中宋"/>
          <w:b w:val="0"/>
        </w:rPr>
      </w:pPr>
      <w:r>
        <w:rPr>
          <w:rFonts w:ascii="华文中宋" w:eastAsia="华文中宋" w:hAnsi="华文中宋" w:hint="eastAsia"/>
          <w:b w:val="0"/>
        </w:rPr>
        <w:t>管理内容</w:t>
      </w:r>
    </w:p>
    <w:p w:rsidR="00B532E3" w:rsidRDefault="00B532E3">
      <w:pPr>
        <w:pStyle w:val="1"/>
        <w:numPr>
          <w:ilvl w:val="0"/>
          <w:numId w:val="30"/>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加强对所属企业负责人履职待遇和薪酬管理，建立健全对所属企业的经营考核机制，将投资的保值增值、内部控制的健全有效等作为考核的重要内容，并在业绩考核的基础上确定所属企业主要负责人的薪酬水平。</w:t>
      </w:r>
    </w:p>
    <w:p w:rsidR="00B532E3" w:rsidRDefault="00B532E3">
      <w:pPr>
        <w:pStyle w:val="1"/>
        <w:numPr>
          <w:ilvl w:val="0"/>
          <w:numId w:val="30"/>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高校对所属企业内部控制应重点关注下列工作：</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（一）所属企业应按法律、法规的规定建立公司章程，并按章程设立股东大会、董事会、监事会等公司治理结构，确保公司按章程运转。</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（二）所属企业董事会、监事会和经理层的产生应当合法合规，其人员构成、知识结构、能力素质应当满足履职的要求。学校应向独资或控股所属企业推荐或任命符合任职条件的人选。</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（三）所属企业的重大决策、重大事项、重要人事任免及大额资金支付业务等，需按章程或协议规定经董事会或股东大会决议通过方可实施。</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（四）所属企业应根据《中华人民共和国会计法》的规定建立会计机构，配备具有相应资格和能力的会计人员。内部控制关键岗位工作人员应当具备与其工作岗位相适应的资格和能力。</w:t>
      </w:r>
    </w:p>
    <w:p w:rsidR="00B532E3" w:rsidRDefault="00B532E3">
      <w:pPr>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（五）所属企业应根据《企业内部控制基本规范》、《企业内部控制应用指引》、《企业内部控制评价指引》等企业内部控制规范性文件的要求，在所属企业内部全面开展内部控制规范建设。</w:t>
      </w:r>
    </w:p>
    <w:p w:rsidR="00B532E3" w:rsidRDefault="00B532E3">
      <w:pPr>
        <w:widowControl/>
        <w:jc w:val="left"/>
        <w:rPr>
          <w:rFonts w:ascii="华文中宋" w:eastAsia="华文中宋" w:hAnsi="华文中宋" w:cs="宋体"/>
          <w:kern w:val="0"/>
          <w:sz w:val="32"/>
          <w:szCs w:val="32"/>
        </w:rPr>
      </w:pPr>
      <w:r>
        <w:rPr>
          <w:rFonts w:ascii="华文中宋" w:eastAsia="华文中宋" w:hAnsi="华文中宋" w:cs="宋体"/>
          <w:kern w:val="0"/>
          <w:sz w:val="32"/>
          <w:szCs w:val="32"/>
        </w:rP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156" w:name="_Toc423337867"/>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14</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r>
        <w:rPr>
          <w:rFonts w:ascii="华文中宋" w:eastAsia="华文中宋" w:hAnsi="华文中宋" w:cs="宋体" w:hint="eastAsia"/>
          <w:kern w:val="0"/>
          <w:sz w:val="32"/>
          <w:szCs w:val="32"/>
        </w:rPr>
        <w:t>教育基金会管理</w:t>
      </w:r>
      <w:bookmarkEnd w:id="156"/>
    </w:p>
    <w:p w:rsidR="00B532E3" w:rsidRDefault="00B532E3" w:rsidP="00984DDA">
      <w:pPr>
        <w:pStyle w:val="Heading2"/>
        <w:numPr>
          <w:ilvl w:val="0"/>
          <w:numId w:val="31"/>
        </w:numPr>
        <w:adjustRightInd w:val="0"/>
        <w:spacing w:beforeLines="100" w:after="0" w:line="240" w:lineRule="auto"/>
        <w:contextualSpacing/>
        <w:jc w:val="center"/>
        <w:rPr>
          <w:rFonts w:ascii="华文中宋" w:eastAsia="华文中宋" w:hAnsi="华文中宋"/>
          <w:b w:val="0"/>
        </w:rPr>
      </w:pPr>
      <w:bookmarkStart w:id="157" w:name="_Toc423337868"/>
      <w:r>
        <w:rPr>
          <w:rFonts w:ascii="华文中宋" w:eastAsia="华文中宋" w:hAnsi="华文中宋" w:hint="eastAsia"/>
          <w:b w:val="0"/>
        </w:rPr>
        <w:t>总则</w:t>
      </w:r>
      <w:bookmarkEnd w:id="157"/>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本指南所称教育基金会（以下简称基金会）是指高校经批准筹资成立，并在国家民政部门备案的法人团体。除按国家法律法规接受监督检查外，基金会还应接受主办高校的管理和监督。</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高校对基金会管理应当重点关注下列风险：</w:t>
      </w:r>
    </w:p>
    <w:p w:rsidR="00B532E3" w:rsidRDefault="00B532E3">
      <w:pPr>
        <w:widowControl/>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（一）基金会缺乏科学决策和良性运行机制，导致既定的发展目标难以实现。基金会内部权责分配不合理，可能导致机构重叠、职能交叉、运行效率低下。</w:t>
      </w:r>
    </w:p>
    <w:p w:rsidR="00B532E3" w:rsidRDefault="00B532E3">
      <w:pPr>
        <w:widowControl/>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（二）资金投融资活动中决策失误，引发盲目扩展或丧失发展机遇，可能导致投资效益低下、流动性不足或资金链断裂；资金管控不严可能导致资金被挪用、侵占或抽逃。</w:t>
      </w:r>
    </w:p>
    <w:p w:rsidR="00B532E3" w:rsidRDefault="00B532E3">
      <w:pPr>
        <w:widowControl/>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（三）缺乏与学校目标一致的发展战略或因主观原因频繁变动，导致基金会发展方向偏离基金会章程规定，或出现重大失误。</w:t>
      </w:r>
    </w:p>
    <w:p w:rsidR="00B532E3" w:rsidRDefault="00B532E3" w:rsidP="00984DDA">
      <w:pPr>
        <w:pStyle w:val="Heading2"/>
        <w:numPr>
          <w:ilvl w:val="0"/>
          <w:numId w:val="31"/>
        </w:numPr>
        <w:adjustRightInd w:val="0"/>
        <w:spacing w:beforeLines="100" w:after="0" w:line="240" w:lineRule="auto"/>
        <w:contextualSpacing/>
        <w:jc w:val="center"/>
        <w:rPr>
          <w:rFonts w:ascii="华文中宋" w:eastAsia="华文中宋" w:hAnsi="华文中宋"/>
          <w:b w:val="0"/>
        </w:rPr>
      </w:pPr>
      <w:bookmarkStart w:id="158" w:name="_Toc423337869"/>
      <w:r>
        <w:rPr>
          <w:rFonts w:ascii="华文中宋" w:eastAsia="华文中宋" w:hAnsi="华文中宋" w:hint="eastAsia"/>
          <w:b w:val="0"/>
        </w:rPr>
        <w:t>组织机构及运行</w:t>
      </w:r>
      <w:bookmarkEnd w:id="158"/>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基金会应根据国家有关法律法规制定基金会章程，设理事会和秘书处，由学校提名理事长，并推荐理事、监事，明确其职责。</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基金会应设立单独的财务机构，配备具有专业资格的财务人员。接受业务主管单位和学校财务审计部门的业务指导和监督。</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基金会所属的分支机构、代表机构、专项基金以及各项业务活动应统一管理。</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的重大决策、重大事项、重要人事任免及大额资金支付业务等，应实行集体决策审批或联签制度；严格执行不相容职务的分离制度，确保可行性研究与决策审批、决策审批与执行、执行与监督检查的分离，有效控制各类风险。</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学校在职人员担任基金会理事、监事或在基金会任职的，履职情况和效果应当纳入学校人员绩效考评范围。</w:t>
      </w:r>
    </w:p>
    <w:p w:rsidR="00B532E3" w:rsidRDefault="00B532E3" w:rsidP="00984DDA">
      <w:pPr>
        <w:pStyle w:val="Heading2"/>
        <w:numPr>
          <w:ilvl w:val="0"/>
          <w:numId w:val="31"/>
        </w:numPr>
        <w:adjustRightInd w:val="0"/>
        <w:spacing w:beforeLines="100" w:after="0" w:line="240" w:lineRule="auto"/>
        <w:contextualSpacing/>
        <w:jc w:val="center"/>
        <w:rPr>
          <w:rFonts w:ascii="华文中宋" w:eastAsia="华文中宋" w:hAnsi="华文中宋"/>
          <w:b w:val="0"/>
        </w:rPr>
      </w:pPr>
      <w:bookmarkStart w:id="159" w:name="_Toc423337870"/>
      <w:r>
        <w:rPr>
          <w:rFonts w:ascii="华文中宋" w:eastAsia="华文中宋" w:hAnsi="华文中宋" w:hint="eastAsia"/>
          <w:b w:val="0"/>
        </w:rPr>
        <w:t>筹资业务</w:t>
      </w:r>
      <w:bookmarkEnd w:id="159"/>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基金会应当根据基金会战略目标和发展规划制定筹资方案。接受的捐赠收入必须确保其公益性，严格区分交换交易收入和捐赠收入。严禁将属于高校的教学科研等事业收入转为基金会捐赠收入。</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获得的各类收入应当及时足额地纳入账户核算。基金会接受现金捐赠，收款人和开票人应当由两人以上分别承担，所收取的现金应及时入账；取得的非现金资产，应配备专人进行登记和管理，做到账实相符、账表相符。</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基金会接受捐赠过程中，如果涉及学校建筑、设施、场所的冠名事项以及学校内部机构冠名事项，应当获得学校批准。</w:t>
      </w:r>
    </w:p>
    <w:p w:rsidR="00B532E3" w:rsidRDefault="00B532E3" w:rsidP="00984DDA">
      <w:pPr>
        <w:pStyle w:val="Heading2"/>
        <w:numPr>
          <w:ilvl w:val="0"/>
          <w:numId w:val="31"/>
        </w:numPr>
        <w:adjustRightInd w:val="0"/>
        <w:spacing w:beforeLines="100" w:after="0" w:line="240" w:lineRule="auto"/>
        <w:contextualSpacing/>
        <w:jc w:val="center"/>
        <w:rPr>
          <w:rFonts w:ascii="华文中宋" w:eastAsia="华文中宋" w:hAnsi="华文中宋"/>
          <w:b w:val="0"/>
        </w:rPr>
      </w:pPr>
      <w:bookmarkStart w:id="160" w:name="_Toc423337871"/>
      <w:r>
        <w:rPr>
          <w:rFonts w:ascii="华文中宋" w:eastAsia="华文中宋" w:hAnsi="华文中宋" w:hint="eastAsia"/>
          <w:b w:val="0"/>
        </w:rPr>
        <w:t>投资业务</w:t>
      </w:r>
      <w:bookmarkEnd w:id="160"/>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基金会应当建立规范的投资决策议事规则，投资计划必须经过理事会决策，投资结果必须向理事会汇报，投资责任由理事会承担。</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基金会应当建立健全重大投资项目审批制度，关注投资风险，合理确定投资规模和投资结构。</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基金会应指定专人对投资项目进行跟踪管理，关注被投资方的财务状况、经营成果以及投资合同的履行情况，发现异常情况应及时报告并妥善处理。</w:t>
      </w:r>
    </w:p>
    <w:p w:rsidR="00B532E3" w:rsidRDefault="00B532E3" w:rsidP="00984DDA">
      <w:pPr>
        <w:pStyle w:val="Heading2"/>
        <w:numPr>
          <w:ilvl w:val="0"/>
          <w:numId w:val="31"/>
        </w:numPr>
        <w:adjustRightInd w:val="0"/>
        <w:spacing w:beforeLines="100" w:after="0" w:line="240" w:lineRule="auto"/>
        <w:contextualSpacing/>
        <w:jc w:val="center"/>
        <w:rPr>
          <w:rFonts w:ascii="华文中宋" w:eastAsia="华文中宋" w:hAnsi="华文中宋"/>
          <w:b w:val="0"/>
        </w:rPr>
      </w:pPr>
      <w:bookmarkStart w:id="161" w:name="_Toc423337872"/>
      <w:r>
        <w:rPr>
          <w:rFonts w:ascii="华文中宋" w:eastAsia="华文中宋" w:hAnsi="华文中宋" w:hint="eastAsia"/>
          <w:b w:val="0"/>
        </w:rPr>
        <w:t>信息公开与监督</w:t>
      </w:r>
      <w:bookmarkEnd w:id="161"/>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基金会应建立健全审计制度，每年必须接受外部审计，并根据审计意见调整内部控制制度。</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基金会应推动分支机构、代表机构的内部控制制度建设，确保内部控制体系的健全性和有效性。</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基金会应按规定向理事会和学校报送并向社会公开经过审计鉴证的年度财务报告。</w:t>
      </w:r>
    </w:p>
    <w:p w:rsidR="00B532E3" w:rsidRDefault="00B532E3">
      <w:pPr>
        <w:pStyle w:val="1"/>
        <w:numPr>
          <w:ilvl w:val="0"/>
          <w:numId w:val="32"/>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基金会在接受社会审计过程中发现的重大问题，应当及时向理事会和学校报告，并进行整改。</w:t>
      </w:r>
    </w:p>
    <w:p w:rsidR="00B532E3" w:rsidRDefault="00B532E3">
      <w:pPr>
        <w:contextualSpacing/>
        <w:rPr>
          <w:rFonts w:ascii="仿宋_GB2312" w:eastAsia="仿宋_GB2312"/>
        </w:rPr>
      </w:pPr>
      <w:r>
        <w:rPr>
          <w:rFonts w:ascii="仿宋_GB2312" w:eastAsia="仿宋_GB2312"/>
        </w:rPr>
        <w:br w:type="page"/>
      </w:r>
    </w:p>
    <w:p w:rsidR="00B532E3" w:rsidRDefault="00B532E3">
      <w:pPr>
        <w:widowControl/>
        <w:contextualSpacing/>
        <w:jc w:val="center"/>
        <w:outlineLvl w:val="0"/>
        <w:rPr>
          <w:rFonts w:ascii="华文中宋" w:eastAsia="华文中宋" w:hAnsi="华文中宋" w:cs="宋体"/>
          <w:kern w:val="0"/>
          <w:sz w:val="32"/>
          <w:szCs w:val="32"/>
        </w:rPr>
      </w:pPr>
      <w:bookmarkStart w:id="162" w:name="_Toc423337873"/>
      <w:r>
        <w:rPr>
          <w:rFonts w:ascii="华文中宋" w:eastAsia="华文中宋" w:hAnsi="华文中宋" w:cs="宋体" w:hint="eastAsia"/>
          <w:kern w:val="0"/>
          <w:sz w:val="32"/>
          <w:szCs w:val="32"/>
        </w:rPr>
        <w:t>第</w:t>
      </w:r>
      <w:r>
        <w:rPr>
          <w:rFonts w:ascii="华文中宋" w:eastAsia="华文中宋" w:hAnsi="华文中宋" w:cs="宋体"/>
          <w:kern w:val="0"/>
          <w:sz w:val="32"/>
          <w:szCs w:val="32"/>
        </w:rPr>
        <w:t>15</w:t>
      </w:r>
      <w:r>
        <w:rPr>
          <w:rFonts w:ascii="华文中宋" w:eastAsia="华文中宋" w:hAnsi="华文中宋" w:cs="宋体" w:hint="eastAsia"/>
          <w:kern w:val="0"/>
          <w:sz w:val="32"/>
          <w:szCs w:val="32"/>
        </w:rPr>
        <w:t>号</w:t>
      </w:r>
      <w:r>
        <w:rPr>
          <w:rFonts w:ascii="华文中宋" w:eastAsia="华文中宋" w:hAnsi="华文中宋" w:cs="宋体"/>
          <w:kern w:val="0"/>
          <w:sz w:val="32"/>
          <w:szCs w:val="32"/>
        </w:rPr>
        <w:t>—</w:t>
      </w:r>
      <w:bookmarkEnd w:id="4"/>
      <w:r>
        <w:rPr>
          <w:rFonts w:ascii="华文中宋" w:eastAsia="华文中宋" w:hAnsi="华文中宋" w:cs="宋体" w:hint="eastAsia"/>
          <w:kern w:val="0"/>
          <w:sz w:val="32"/>
          <w:szCs w:val="32"/>
        </w:rPr>
        <w:t>其他附属单位</w:t>
      </w:r>
      <w:bookmarkEnd w:id="162"/>
      <w:r>
        <w:rPr>
          <w:rFonts w:ascii="华文中宋" w:eastAsia="华文中宋" w:hAnsi="华文中宋" w:cs="宋体" w:hint="eastAsia"/>
          <w:kern w:val="0"/>
          <w:sz w:val="32"/>
          <w:szCs w:val="32"/>
        </w:rPr>
        <w:t>管理</w:t>
      </w:r>
    </w:p>
    <w:p w:rsidR="00B532E3" w:rsidRDefault="00B532E3" w:rsidP="00984DDA">
      <w:pPr>
        <w:pStyle w:val="Heading2"/>
        <w:numPr>
          <w:ilvl w:val="0"/>
          <w:numId w:val="33"/>
        </w:numPr>
        <w:adjustRightInd w:val="0"/>
        <w:spacing w:beforeLines="100" w:after="0" w:line="240" w:lineRule="auto"/>
        <w:contextualSpacing/>
        <w:jc w:val="center"/>
        <w:rPr>
          <w:rFonts w:ascii="华文中宋" w:eastAsia="华文中宋" w:hAnsi="华文中宋"/>
          <w:b w:val="0"/>
        </w:rPr>
      </w:pPr>
      <w:bookmarkStart w:id="163" w:name="_Toc423337874"/>
      <w:r>
        <w:rPr>
          <w:rFonts w:ascii="华文中宋" w:eastAsia="华文中宋" w:hAnsi="华文中宋" w:hint="eastAsia"/>
          <w:b w:val="0"/>
        </w:rPr>
        <w:t>总</w:t>
      </w:r>
      <w:r>
        <w:rPr>
          <w:rFonts w:ascii="华文中宋" w:eastAsia="华文中宋" w:hAnsi="华文中宋"/>
          <w:b w:val="0"/>
        </w:rPr>
        <w:t xml:space="preserve">  </w:t>
      </w:r>
      <w:r>
        <w:rPr>
          <w:rFonts w:ascii="华文中宋" w:eastAsia="华文中宋" w:hAnsi="华文中宋" w:hint="eastAsia"/>
          <w:b w:val="0"/>
        </w:rPr>
        <w:t>则</w:t>
      </w:r>
      <w:bookmarkEnd w:id="163"/>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本指南所称其他附属单位（以下简称附属单位）是指除高校所属企业和教育基金会之外的，其他附属于高校的具有独立法人资格的单位，包括附属医院、研究院、独立学院和附属中小学等。</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高校对所属企业和教育基金会的内部控制分别由《应用指南第</w:t>
      </w:r>
      <w:r>
        <w:rPr>
          <w:rFonts w:ascii="仿宋_GB2312" w:eastAsia="仿宋_GB2312" w:hAnsi="仿宋"/>
          <w:sz w:val="32"/>
          <w:szCs w:val="32"/>
        </w:rPr>
        <w:t>13</w:t>
      </w:r>
      <w:r>
        <w:rPr>
          <w:rFonts w:ascii="仿宋_GB2312" w:eastAsia="仿宋_GB2312" w:hAnsi="仿宋" w:hint="eastAsia"/>
          <w:sz w:val="32"/>
          <w:szCs w:val="32"/>
        </w:rPr>
        <w:t>号</w:t>
      </w:r>
      <w:r>
        <w:rPr>
          <w:rFonts w:ascii="仿宋_GB2312" w:eastAsia="仿宋_GB2312" w:hAnsi="仿宋"/>
          <w:sz w:val="32"/>
          <w:szCs w:val="32"/>
        </w:rPr>
        <w:t>—</w:t>
      </w:r>
      <w:r>
        <w:rPr>
          <w:rFonts w:ascii="仿宋_GB2312" w:eastAsia="仿宋_GB2312" w:hAnsi="仿宋" w:hint="eastAsia"/>
          <w:sz w:val="32"/>
          <w:szCs w:val="32"/>
        </w:rPr>
        <w:t>所属企业》和《应用指南第</w:t>
      </w:r>
      <w:r>
        <w:rPr>
          <w:rFonts w:ascii="仿宋_GB2312" w:eastAsia="仿宋_GB2312" w:hAnsi="仿宋"/>
          <w:sz w:val="32"/>
          <w:szCs w:val="32"/>
        </w:rPr>
        <w:t>14</w:t>
      </w:r>
      <w:r>
        <w:rPr>
          <w:rFonts w:ascii="仿宋_GB2312" w:eastAsia="仿宋_GB2312" w:hAnsi="仿宋" w:hint="eastAsia"/>
          <w:sz w:val="32"/>
          <w:szCs w:val="32"/>
        </w:rPr>
        <w:t>号</w:t>
      </w:r>
      <w:r>
        <w:rPr>
          <w:rFonts w:ascii="仿宋_GB2312" w:eastAsia="仿宋_GB2312" w:hAnsi="仿宋"/>
          <w:sz w:val="32"/>
          <w:szCs w:val="32"/>
        </w:rPr>
        <w:t>—</w:t>
      </w:r>
      <w:r>
        <w:rPr>
          <w:rFonts w:ascii="仿宋_GB2312" w:eastAsia="仿宋_GB2312" w:hAnsi="仿宋" w:hint="eastAsia"/>
          <w:sz w:val="32"/>
          <w:szCs w:val="32"/>
        </w:rPr>
        <w:t>教育基金会》规范。</w:t>
      </w:r>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高校对附属单位经济活动的内部控制应当重点关注下列风险：</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附属单位在内部治理体系、组织架构、关键岗位设置与权责分配、经济活动决策与运行机制等单位层面的内部控制体系不健全或者存在重大缺陷，可能导致附属单位内部管理混乱，影响附属单位正常运行，高校因此遭受经济损失，承担监管或连带责任。</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（二）附属单位在资产、财务收支、工程项目、合同管理、采购等业务方面的内部控制体系不健全或者存在重大缺陷，可能导致附属单位发生腐败和舞弊问题，高校因此承担监管责任。</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（三）高校未采取切实有效措施对附属单位经济活动进行控制，可能导致未及时发现附属单位经济活动中存在的问题，由此而承担监管责任或连带责任。</w:t>
      </w:r>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依照有关法律、法规和合作协议的规定，通过建立健全附属单位内部治理体系，任命其主要负责人，督促其建立健全内部控制，对其重大经济事项实施审批与监管，建立附属单位财务信息定期报送制度，定期对其财务状况和收支情况进行审计和监督等措施加强对附属单位经济活动的控制，切实维护高校权益。</w:t>
      </w:r>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附属单位开展经济活动时不仅应遵守国家的相关法律法规，而且同时还应主动接受其所属高校的管理和监督。</w:t>
      </w:r>
    </w:p>
    <w:p w:rsidR="00B532E3" w:rsidRDefault="00B532E3" w:rsidP="00984DDA">
      <w:pPr>
        <w:pStyle w:val="Heading2"/>
        <w:numPr>
          <w:ilvl w:val="0"/>
          <w:numId w:val="33"/>
        </w:numPr>
        <w:adjustRightInd w:val="0"/>
        <w:spacing w:beforeLines="100" w:after="0" w:line="240" w:lineRule="auto"/>
        <w:contextualSpacing/>
        <w:jc w:val="center"/>
        <w:rPr>
          <w:rFonts w:ascii="华文中宋" w:eastAsia="华文中宋" w:hAnsi="华文中宋"/>
          <w:b w:val="0"/>
        </w:rPr>
      </w:pPr>
      <w:bookmarkStart w:id="164" w:name="_Toc423337875"/>
      <w:r>
        <w:rPr>
          <w:rFonts w:ascii="华文中宋" w:eastAsia="华文中宋" w:hAnsi="华文中宋" w:hint="eastAsia"/>
          <w:b w:val="0"/>
        </w:rPr>
        <w:t>对附属医院的内部控制</w:t>
      </w:r>
      <w:bookmarkEnd w:id="164"/>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高校对附属医院经济活动的内部控制应当重点关注下列风险：</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（一）附属医院在资产、财务收支、工程项目、合同管理、采购等业务方面的内部控制体系不健全或者存在重大缺陷，可能导致附属医院发生腐败和舞弊问题，高校因此承担监管责任。</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（二）附属医院重大经济事项未履行相关决策程序，可能导致因决策失误造成国有资产损失，高校因此承担监管或连带责任。</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（三）附属医院收费管理混乱，超范围、超标准收费，存在私设“小金库”现象，可能导致高校因此承担监管责任。</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（四）附属医院的重大对外投资活动事先未经充分论证，投资过程管理混乱，可能因投资失败导致损失，高校因此承担连带责任。</w:t>
      </w:r>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高校对其附属医院经济活动的内部控制应重点关注下列工作：</w:t>
      </w:r>
    </w:p>
    <w:p w:rsidR="00B532E3" w:rsidRDefault="00B532E3">
      <w:pPr>
        <w:ind w:firstLineChars="200" w:firstLine="640"/>
        <w:contextualSpacing/>
        <w:rPr>
          <w:rFonts w:ascii="仿宋_GB2312" w:eastAsia="仿宋_GB2312" w:hAnsi="仿宋"/>
          <w:b/>
          <w:sz w:val="32"/>
          <w:szCs w:val="32"/>
        </w:rPr>
      </w:pPr>
      <w:r>
        <w:rPr>
          <w:rFonts w:ascii="仿宋_GB2312" w:eastAsia="仿宋_GB2312" w:hAnsi="仿宋" w:hint="eastAsia"/>
          <w:sz w:val="32"/>
          <w:szCs w:val="32"/>
        </w:rPr>
        <w:t>（一）附属医院应当按照规定设立专门的财务机构并配备专职人员，三级医院须设置总会计师。医院的财务活动应在医院负责人及总会计师领导下，由医院财务部门实施集中管理。</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（二）附属医院应当建立健全本单位内部控制体系并组织有效实施，接受高校对其内部控制的建立及实施情况进行的监督检查。</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（三）附属医院的重大决策、重大事项、重要人事任免及大额资金支付业务等，应实行集体决策或联签制度，并按规定报其所属高校审批或备案。</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（四）附属医院财务预决算等财务信息应经医院规定的决策机构审议通过后上报主管部门，并报所属高校备案。</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（五）附属医院应严格执行国家物价政策，建立健全各项收费管理制度。附属医院的各项收入应当及时全额纳入规定账户管理。</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（六）附属医院应在保证正常运转和事业发展的前提下，严格控制对外投资。投资范围仅限于医疗服务相关领域。投资必须经过充分的可行性论证，并报主管部门和财政部门批准，同时报其所属高校备案。</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附属医院应遵循适当投资回报、严格防范风险、全程跟踪管理等原则，对投资效益、收益与分配等情况进行监督管理，确保国有资产的保值增值。</w:t>
      </w:r>
    </w:p>
    <w:p w:rsidR="00B532E3" w:rsidRDefault="00B532E3" w:rsidP="00984DDA">
      <w:pPr>
        <w:pStyle w:val="Heading2"/>
        <w:numPr>
          <w:ilvl w:val="0"/>
          <w:numId w:val="33"/>
        </w:numPr>
        <w:adjustRightInd w:val="0"/>
        <w:spacing w:beforeLines="100" w:after="0" w:line="240" w:lineRule="auto"/>
        <w:contextualSpacing/>
        <w:jc w:val="center"/>
        <w:rPr>
          <w:rFonts w:ascii="华文中宋" w:eastAsia="华文中宋" w:hAnsi="华文中宋"/>
          <w:b w:val="0"/>
        </w:rPr>
      </w:pPr>
      <w:bookmarkStart w:id="165" w:name="_Toc423337876"/>
      <w:r>
        <w:rPr>
          <w:rFonts w:ascii="华文中宋" w:eastAsia="华文中宋" w:hAnsi="华文中宋" w:hint="eastAsia"/>
          <w:b w:val="0"/>
        </w:rPr>
        <w:t>对研究院的内部控制</w:t>
      </w:r>
      <w:bookmarkEnd w:id="165"/>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高校对研究院经济活动的内部控制应当重点关注下列风险：</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（一）对设立研究院的必要性、可行性和科学性事先未经充分论证，可能导致其对学校教学、科研事业发展未起到促进作用，学校由此承担监管责任。</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（二）研究院章程未明确合作各方的出资额，或对合作各方权利义务的规定出现缺陷或重大差错，导致产生合同纠纷，难以保障高校合法经济利益。</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（三）研究院存续期间，由于内部管理不善，外部监管不力，导致占用、浪费学校资源，并且未实现预期目标。</w:t>
      </w:r>
    </w:p>
    <w:p w:rsidR="00B532E3" w:rsidRDefault="00B532E3">
      <w:pPr>
        <w:ind w:firstLineChars="200" w:firstLine="640"/>
        <w:contextualSpacing/>
        <w:rPr>
          <w:rFonts w:ascii="仿宋_GB2312" w:eastAsia="仿宋_GB2312" w:hAnsi="仿宋"/>
          <w:b/>
          <w:sz w:val="32"/>
          <w:szCs w:val="32"/>
        </w:rPr>
      </w:pPr>
      <w:r>
        <w:rPr>
          <w:rFonts w:ascii="仿宋_GB2312" w:eastAsia="仿宋_GB2312" w:hAnsi="仿宋" w:hint="eastAsia"/>
          <w:sz w:val="32"/>
          <w:szCs w:val="32"/>
        </w:rPr>
        <w:t>（四）研究院未按照国家法律法规和章程要求开展研究活动，或超范围开展其他业务，可能导致学校声誉受损或牵涉法律纠纷。</w:t>
      </w:r>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高校对研究院经济活动的内部控制应重点关注下列工作：</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（一）研究院应按相关规定建立其章程，并按章程设立理事会等机构作为研究院的决策机构。</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（二）研究院的重大决策、重大事项、重要人事任免及大额资金支付业务等，应按章程规定程序决策，按规定报其所属高校备案。</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（三）研究院应设立独立的财务机构，配备具有专业资格的财务人员，按照国家财经法律法规的规定开展财务工作。必要时，可以由所属高校委派会计或会计主管。</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（四）研究院应当严格控制对外投资，不得举借债务。在保证研究院正常运转和事业发展的前提下，投资活动须经理事会决议通过，并按国家法规和章程要求履行相关审批程序，按规定报所属高校审批。</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（五）研究院应当加强和完善会计基础工作，建立财务信息定期报送制度。在每个会计年度结束时，年度财务报告应按时报送其所属高校备案。</w:t>
      </w:r>
    </w:p>
    <w:p w:rsidR="00B532E3" w:rsidRDefault="00B532E3" w:rsidP="00984DDA">
      <w:pPr>
        <w:pStyle w:val="Heading2"/>
        <w:numPr>
          <w:ilvl w:val="0"/>
          <w:numId w:val="33"/>
        </w:numPr>
        <w:adjustRightInd w:val="0"/>
        <w:spacing w:beforeLines="100" w:after="0" w:line="240" w:lineRule="auto"/>
        <w:contextualSpacing/>
        <w:jc w:val="center"/>
        <w:rPr>
          <w:rFonts w:ascii="华文中宋" w:eastAsia="华文中宋" w:hAnsi="华文中宋"/>
          <w:b w:val="0"/>
        </w:rPr>
      </w:pPr>
      <w:bookmarkStart w:id="166" w:name="_Toc423337877"/>
      <w:r>
        <w:rPr>
          <w:rFonts w:ascii="华文中宋" w:eastAsia="华文中宋" w:hAnsi="华文中宋" w:hint="eastAsia"/>
          <w:b w:val="0"/>
        </w:rPr>
        <w:t>对独立学院的内部控制</w:t>
      </w:r>
      <w:bookmarkEnd w:id="166"/>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高校对独立学院经济活动的内部控制应当重点关注下列风险：</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（一）高校投入办学的固定资产或无形资产未经评估作价，可能导致国有资产流失。</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（二）办学协议履行不到位，或在办学协议中未明确出资数额及各方权利义务，出现合同纠纷，可能导致高校合法经济利益受损。</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（三）未按照国家法律法规和章程要求开展教学科研活动，或超范围开展其他业务，可能导致高校声誉受损或牵涉法律纠纷。</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（四）未按规定设置专门的财务机构，未配备具有专业资格的财务人员，财务制度不健全，管理混乱，可能出现腐败和职务犯罪，高校因此承担监管责任。</w:t>
      </w:r>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高校对独立学院经济活动的内部控制应着重关注下列工作：</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（一）参与举办</w:t>
      </w:r>
      <w:r>
        <w:rPr>
          <w:rFonts w:ascii="仿宋_GB2312" w:eastAsia="仿宋_GB2312" w:hAnsi="华文中宋" w:hint="eastAsia"/>
          <w:sz w:val="32"/>
          <w:szCs w:val="30"/>
        </w:rPr>
        <w:t>独立</w:t>
      </w:r>
      <w:r>
        <w:rPr>
          <w:rFonts w:ascii="仿宋_GB2312" w:eastAsia="仿宋_GB2312" w:hAnsi="仿宋" w:hint="eastAsia"/>
          <w:sz w:val="32"/>
          <w:szCs w:val="32"/>
        </w:rPr>
        <w:t>学院的高校与社会组织或者个人，应当签订合作办学协议。合作办学协议应明确办学宗旨、培养目标、出资数额和方式、各方权利义务、合作期限、争议解决办法等内容。</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w:t>
      </w:r>
      <w:r>
        <w:rPr>
          <w:rFonts w:ascii="仿宋_GB2312" w:eastAsia="仿宋_GB2312" w:hAnsi="华文中宋" w:hint="eastAsia"/>
          <w:sz w:val="32"/>
          <w:szCs w:val="30"/>
        </w:rPr>
        <w:t>独立</w:t>
      </w:r>
      <w:r>
        <w:rPr>
          <w:rFonts w:ascii="仿宋_GB2312" w:eastAsia="仿宋_GB2312" w:hAnsi="仿宋" w:hint="eastAsia"/>
          <w:sz w:val="32"/>
          <w:szCs w:val="32"/>
        </w:rPr>
        <w:t>学院存续期间，举办者不得抽逃办学资金，不得挪用办学经费。举办者的出资须经依法验资，并按规定时间过户到</w:t>
      </w:r>
      <w:r>
        <w:rPr>
          <w:rFonts w:ascii="仿宋_GB2312" w:eastAsia="仿宋_GB2312" w:hAnsi="华文中宋" w:hint="eastAsia"/>
          <w:sz w:val="32"/>
          <w:szCs w:val="30"/>
        </w:rPr>
        <w:t>独立</w:t>
      </w:r>
      <w:r>
        <w:rPr>
          <w:rFonts w:ascii="仿宋_GB2312" w:eastAsia="仿宋_GB2312" w:hAnsi="仿宋" w:hint="eastAsia"/>
          <w:sz w:val="32"/>
          <w:szCs w:val="32"/>
        </w:rPr>
        <w:t>学院名下。高校投入办学的无形资产，应当依法评估作价。</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w:t>
      </w:r>
      <w:r>
        <w:rPr>
          <w:rFonts w:ascii="仿宋_GB2312" w:eastAsia="仿宋_GB2312" w:hAnsi="华文中宋" w:hint="eastAsia"/>
          <w:sz w:val="32"/>
          <w:szCs w:val="30"/>
        </w:rPr>
        <w:t>独立</w:t>
      </w:r>
      <w:r>
        <w:rPr>
          <w:rFonts w:ascii="仿宋_GB2312" w:eastAsia="仿宋_GB2312" w:hAnsi="仿宋" w:hint="eastAsia"/>
          <w:sz w:val="32"/>
          <w:szCs w:val="32"/>
        </w:rPr>
        <w:t>学院应建立学院章程，并按章程设立理事会或董事会作为决策机构。</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（四）</w:t>
      </w:r>
      <w:r>
        <w:rPr>
          <w:rFonts w:ascii="仿宋_GB2312" w:eastAsia="仿宋_GB2312" w:hAnsi="华文中宋" w:hint="eastAsia"/>
          <w:sz w:val="32"/>
          <w:szCs w:val="30"/>
        </w:rPr>
        <w:t>独立</w:t>
      </w:r>
      <w:r>
        <w:rPr>
          <w:rFonts w:ascii="仿宋_GB2312" w:eastAsia="仿宋_GB2312" w:hAnsi="仿宋" w:hint="eastAsia"/>
          <w:sz w:val="32"/>
          <w:szCs w:val="32"/>
        </w:rPr>
        <w:t>学院应实行“统一领导、集中管理”的财务管理体制。以董事会或理事会授权为前提，法定代表人对独立学院财务工作应承担全部经济责任。</w:t>
      </w:r>
    </w:p>
    <w:p w:rsidR="00B532E3" w:rsidRDefault="00B532E3">
      <w:pPr>
        <w:ind w:firstLineChars="200" w:firstLine="640"/>
        <w:contextualSpacing/>
        <w:rPr>
          <w:rFonts w:ascii="仿宋_GB2312" w:eastAsia="仿宋_GB2312" w:hAnsi="仿宋"/>
          <w:sz w:val="32"/>
          <w:szCs w:val="32"/>
        </w:rPr>
      </w:pPr>
      <w:r>
        <w:rPr>
          <w:rFonts w:ascii="仿宋_GB2312" w:eastAsia="仿宋_GB2312" w:hAnsi="华文中宋" w:hint="eastAsia"/>
          <w:sz w:val="32"/>
          <w:szCs w:val="30"/>
        </w:rPr>
        <w:t>独立</w:t>
      </w:r>
      <w:r>
        <w:rPr>
          <w:rFonts w:ascii="仿宋_GB2312" w:eastAsia="仿宋_GB2312" w:hAnsi="仿宋" w:hint="eastAsia"/>
          <w:sz w:val="32"/>
          <w:szCs w:val="32"/>
        </w:rPr>
        <w:t>学院应设立独立的财务机构，并配备具有专业资格的财会人员，在法定代表人的统一领导下，按照国家财经法律法规的规定开展财务工作。</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（五）</w:t>
      </w:r>
      <w:r>
        <w:rPr>
          <w:rFonts w:ascii="仿宋_GB2312" w:eastAsia="仿宋_GB2312" w:hAnsi="华文中宋" w:hint="eastAsia"/>
          <w:sz w:val="32"/>
          <w:szCs w:val="30"/>
        </w:rPr>
        <w:t>独立</w:t>
      </w:r>
      <w:r>
        <w:rPr>
          <w:rFonts w:ascii="仿宋_GB2312" w:eastAsia="仿宋_GB2312" w:hAnsi="仿宋" w:hint="eastAsia"/>
          <w:sz w:val="32"/>
          <w:szCs w:val="32"/>
        </w:rPr>
        <w:t>学院的重大决策、重大事项、重要人事任免及大额资金支付业务等，须经理事会或董事会决议通过，必要时报其所属高校备案。</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（六）</w:t>
      </w:r>
      <w:r>
        <w:rPr>
          <w:rFonts w:ascii="仿宋_GB2312" w:eastAsia="仿宋_GB2312" w:hAnsi="华文中宋" w:hint="eastAsia"/>
          <w:sz w:val="32"/>
          <w:szCs w:val="30"/>
        </w:rPr>
        <w:t>独立</w:t>
      </w:r>
      <w:r>
        <w:rPr>
          <w:rFonts w:ascii="仿宋_GB2312" w:eastAsia="仿宋_GB2312" w:hAnsi="仿宋" w:hint="eastAsia"/>
          <w:sz w:val="32"/>
          <w:szCs w:val="32"/>
        </w:rPr>
        <w:t>学院应当定期向主管部门和所属高校财务部门报送财务报告及相关财务资料，年度预决算和重大经济事项应及时上报所属高校备案。</w:t>
      </w:r>
    </w:p>
    <w:p w:rsidR="00B532E3" w:rsidRDefault="00B532E3" w:rsidP="00984DDA">
      <w:pPr>
        <w:pStyle w:val="Heading2"/>
        <w:numPr>
          <w:ilvl w:val="0"/>
          <w:numId w:val="33"/>
        </w:numPr>
        <w:adjustRightInd w:val="0"/>
        <w:spacing w:beforeLines="100" w:after="0" w:line="240" w:lineRule="auto"/>
        <w:contextualSpacing/>
        <w:jc w:val="center"/>
        <w:rPr>
          <w:rFonts w:ascii="华文中宋" w:eastAsia="华文中宋" w:hAnsi="华文中宋"/>
          <w:b w:val="0"/>
        </w:rPr>
      </w:pPr>
      <w:bookmarkStart w:id="167" w:name="_Toc423337878"/>
      <w:r>
        <w:rPr>
          <w:rFonts w:ascii="华文中宋" w:eastAsia="华文中宋" w:hAnsi="华文中宋" w:hint="eastAsia"/>
          <w:b w:val="0"/>
        </w:rPr>
        <w:t>对附属中小学的内部控制</w:t>
      </w:r>
      <w:bookmarkEnd w:id="167"/>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高校对附属中小学经济活动的内部控制应当重点关注下列风险：</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（一）附属中小学超标准、超范围收费，或收费未按规定上交财务部门入账，存在私设“小金库”现象，可能导致其所属高校因此承担监管责任。</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（二）附属中小学未按规定用途使用专项资金，预算执行未到达预期目标，可能导致高校因此承担监管责任。</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附属中小学资产转让、出租、出借及对外投资、对外举借债务未经集体决策或审批、备案，可能导致出现资产流失、投资损失、无力偿还债务等问题，造成经济损失，可能导致高校因此承担监管责任或连带责任。</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（四）附属中小学未按规定设置专门的财务机构，未配备具有专业资格的财务人员，财务制度不健全，管理混乱，可能出现腐败和职务犯罪，高校因此承担监管责任。</w:t>
      </w:r>
    </w:p>
    <w:p w:rsidR="00B532E3" w:rsidRDefault="00B532E3">
      <w:pPr>
        <w:pStyle w:val="1"/>
        <w:numPr>
          <w:ilvl w:val="0"/>
          <w:numId w:val="34"/>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高校对附属中小学经济活动的内部控制应着重关注下列工作：</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（一）附属中小学财务管理实行校长负责制，应单独设置财务机构并配备具有专业资格的财务人员，建立和完善会计人员岗位责任制。学校的财务活动在校长的领导下，由财务部门统一管理。</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（二）附属中小学应当建立健全内部控制体系并组织实施，接受所属高校对其内部控制的建立及实施情况进行的监督检查。</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（三）附属中小学的重大决策、重大事项、重要人事任免及大额资金支付业务等，应实行集体决策或联签制度，并报其所属高校备案。</w:t>
      </w:r>
    </w:p>
    <w:p w:rsidR="00B532E3" w:rsidRDefault="00B532E3">
      <w:pPr>
        <w:tabs>
          <w:tab w:val="left" w:pos="1537"/>
        </w:tabs>
        <w:ind w:firstLineChars="200" w:firstLine="640"/>
        <w:contextualSpacing/>
        <w:rPr>
          <w:rFonts w:ascii="仿宋_GB2312" w:eastAsia="仿宋_GB2312" w:hAnsi="仿宋"/>
          <w:sz w:val="32"/>
          <w:szCs w:val="32"/>
        </w:rPr>
      </w:pPr>
      <w:r>
        <w:rPr>
          <w:rFonts w:ascii="仿宋_GB2312" w:eastAsia="仿宋_GB2312" w:hAnsi="仿宋" w:hint="eastAsia"/>
          <w:sz w:val="32"/>
          <w:szCs w:val="32"/>
        </w:rPr>
        <w:t>（四）附属中小学组织收入应当合法合规，各项收费应当严格执行国家规定的收费范围、收费项目和收费标准，使用符合国家规定的合法票据。各项收入应全部纳入学校预算，统一核算，统一管理。严禁设立“小金库”，严禁账外设账，严禁公款私存。</w:t>
      </w:r>
    </w:p>
    <w:p w:rsidR="00B532E3" w:rsidRDefault="00B532E3">
      <w:pPr>
        <w:tabs>
          <w:tab w:val="left" w:pos="1537"/>
        </w:tabs>
        <w:ind w:firstLineChars="200" w:firstLine="640"/>
        <w:contextualSpacing/>
        <w:rPr>
          <w:rFonts w:ascii="仿宋_GB2312" w:eastAsia="仿宋_GB2312" w:hAnsi="仿宋"/>
          <w:sz w:val="32"/>
          <w:szCs w:val="32"/>
        </w:rPr>
      </w:pPr>
      <w:r>
        <w:rPr>
          <w:rFonts w:ascii="仿宋_GB2312" w:eastAsia="仿宋_GB2312" w:hAnsi="仿宋" w:hint="eastAsia"/>
          <w:sz w:val="32"/>
          <w:szCs w:val="32"/>
        </w:rPr>
        <w:t>（五）附属中小学应当严格控制对外投资，不得违反规定举借债务，不得提供担保。在保证学校正常运转和事业发展的前提下，按照国家有关规定可以对外投资的，应当履行相关审批程序，并报所属高校备案。</w:t>
      </w:r>
    </w:p>
    <w:p w:rsidR="00B532E3" w:rsidRDefault="00B532E3">
      <w:pPr>
        <w:tabs>
          <w:tab w:val="left" w:pos="1537"/>
        </w:tabs>
        <w:ind w:firstLineChars="200" w:firstLine="640"/>
        <w:contextualSpacing/>
        <w:rPr>
          <w:rFonts w:ascii="仿宋_GB2312" w:eastAsia="仿宋_GB2312" w:hAnsi="仿宋"/>
          <w:sz w:val="32"/>
          <w:szCs w:val="32"/>
        </w:rPr>
      </w:pPr>
      <w:r>
        <w:rPr>
          <w:rFonts w:ascii="仿宋_GB2312" w:eastAsia="仿宋_GB2312" w:hAnsi="仿宋" w:hint="eastAsia"/>
          <w:sz w:val="32"/>
          <w:szCs w:val="32"/>
        </w:rPr>
        <w:t>义务教育阶段学校不得对外投资，严禁举借债务。</w:t>
      </w:r>
    </w:p>
    <w:p w:rsidR="00B532E3" w:rsidRDefault="00B532E3">
      <w:pPr>
        <w:ind w:firstLineChars="200" w:firstLine="640"/>
        <w:contextualSpacing/>
        <w:rPr>
          <w:rFonts w:ascii="仿宋_GB2312" w:eastAsia="仿宋_GB2312" w:hAnsi="仿宋"/>
          <w:sz w:val="32"/>
          <w:szCs w:val="32"/>
        </w:rPr>
      </w:pPr>
      <w:r>
        <w:rPr>
          <w:rFonts w:ascii="仿宋_GB2312" w:eastAsia="仿宋_GB2312" w:hAnsi="仿宋" w:hint="eastAsia"/>
          <w:sz w:val="32"/>
          <w:szCs w:val="32"/>
        </w:rPr>
        <w:t>（六）附属中小学应当定期向主管部门和所属高校财务部门报送财务报告及相关财务资料，年度预决算应及时上报所属高校审定或备案。</w:t>
      </w:r>
    </w:p>
    <w:p w:rsidR="00B532E3" w:rsidRDefault="00B532E3">
      <w:pPr>
        <w:widowControl/>
        <w:jc w:val="left"/>
        <w:rPr>
          <w:rFonts w:ascii="仿宋_GB2312" w:eastAsia="仿宋_GB2312" w:hAnsi="仿宋"/>
          <w:sz w:val="32"/>
          <w:szCs w:val="32"/>
        </w:rPr>
      </w:pPr>
      <w:r>
        <w:rPr>
          <w:rFonts w:ascii="仿宋_GB2312" w:eastAsia="仿宋_GB2312" w:hAnsi="仿宋"/>
          <w:sz w:val="32"/>
          <w:szCs w:val="32"/>
        </w:rPr>
        <w:br w:type="page"/>
      </w:r>
    </w:p>
    <w:p w:rsidR="00B532E3" w:rsidRDefault="00B532E3">
      <w:pPr>
        <w:widowControl/>
        <w:contextualSpacing/>
        <w:jc w:val="center"/>
        <w:rPr>
          <w:rFonts w:ascii="华文中宋" w:eastAsia="华文中宋" w:hAnsi="华文中宋" w:cs="宋体"/>
          <w:kern w:val="0"/>
          <w:sz w:val="36"/>
          <w:szCs w:val="36"/>
        </w:rPr>
      </w:pPr>
      <w:bookmarkStart w:id="168" w:name="_Toc423337879"/>
      <w:r>
        <w:rPr>
          <w:rFonts w:ascii="华文中宋" w:eastAsia="华文中宋" w:hAnsi="华文中宋" w:cs="宋体" w:hint="eastAsia"/>
          <w:kern w:val="0"/>
          <w:sz w:val="36"/>
          <w:szCs w:val="36"/>
        </w:rPr>
        <w:t>内部控制评价指南</w:t>
      </w:r>
    </w:p>
    <w:p w:rsidR="00B532E3" w:rsidRDefault="00B532E3" w:rsidP="00984DDA">
      <w:pPr>
        <w:pStyle w:val="Heading2"/>
        <w:numPr>
          <w:ilvl w:val="0"/>
          <w:numId w:val="35"/>
        </w:numPr>
        <w:adjustRightInd w:val="0"/>
        <w:spacing w:beforeLines="100" w:after="0" w:line="240" w:lineRule="auto"/>
        <w:contextualSpacing/>
        <w:jc w:val="center"/>
        <w:rPr>
          <w:rFonts w:ascii="华文中宋" w:eastAsia="华文中宋" w:hAnsi="华文中宋"/>
          <w:b w:val="0"/>
        </w:rPr>
      </w:pPr>
      <w:r>
        <w:rPr>
          <w:rFonts w:ascii="华文中宋" w:eastAsia="华文中宋" w:hAnsi="华文中宋" w:hint="eastAsia"/>
          <w:b w:val="0"/>
        </w:rPr>
        <w:t>总</w:t>
      </w:r>
      <w:r>
        <w:rPr>
          <w:rFonts w:ascii="华文中宋" w:eastAsia="华文中宋" w:hAnsi="华文中宋"/>
          <w:b w:val="0"/>
        </w:rPr>
        <w:t xml:space="preserve">  </w:t>
      </w:r>
      <w:r>
        <w:rPr>
          <w:rFonts w:ascii="华文中宋" w:eastAsia="华文中宋" w:hAnsi="华文中宋" w:hint="eastAsia"/>
          <w:b w:val="0"/>
        </w:rPr>
        <w:t>则</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为规范高校内部控制评价与监督，促进高校内部控制不断完善并有效实施，根据《行政事业单位内部控制规范（试行）》和有关法律法规，制定本指南。</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本指南所称内部控制评价，是指高校自行对自身内部控制建立和执行的有效性进行评价，形成评价结论，并出具评价报告的过程。</w:t>
      </w:r>
    </w:p>
    <w:p w:rsidR="00B532E3" w:rsidRDefault="00B532E3">
      <w:pPr>
        <w:widowControl/>
        <w:ind w:firstLineChars="200" w:firstLine="640"/>
        <w:contextualSpacing/>
        <w:rPr>
          <w:rFonts w:ascii="仿宋_GB2312" w:eastAsia="仿宋_GB2312" w:hAnsi="华文中宋"/>
          <w:color w:val="FF0000"/>
          <w:sz w:val="32"/>
          <w:szCs w:val="30"/>
        </w:rPr>
      </w:pPr>
      <w:r>
        <w:rPr>
          <w:rFonts w:ascii="仿宋_GB2312" w:eastAsia="仿宋_GB2312" w:hAnsi="华文中宋" w:hint="eastAsia"/>
          <w:sz w:val="32"/>
          <w:szCs w:val="30"/>
        </w:rPr>
        <w:t>本指南所称内部控制监督，是指教育、财政、审计、纪检监察及高校内部审计与监察部门，对高校内部控制建立和实施情况进行的监督。</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sz w:val="32"/>
          <w:szCs w:val="30"/>
        </w:rPr>
        <w:t xml:space="preserve"> </w:t>
      </w:r>
      <w:r>
        <w:rPr>
          <w:rFonts w:ascii="仿宋_GB2312" w:eastAsia="仿宋_GB2312" w:hAnsi="华文中宋" w:hint="eastAsia"/>
          <w:sz w:val="32"/>
          <w:szCs w:val="30"/>
        </w:rPr>
        <w:t>高校应统筹安排内部控制评价与监督工作，充分发挥内部控制评价报告和内部控制监督意见、建议的作用，不断完善高校内部控制体系，提高内部控制建立与实施的有效性。</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sz w:val="32"/>
          <w:szCs w:val="30"/>
        </w:rPr>
        <w:t xml:space="preserve"> </w:t>
      </w:r>
      <w:r>
        <w:rPr>
          <w:rFonts w:ascii="仿宋_GB2312" w:eastAsia="仿宋_GB2312" w:hAnsi="华文中宋" w:hint="eastAsia"/>
          <w:sz w:val="32"/>
          <w:szCs w:val="30"/>
        </w:rPr>
        <w:t>高校应当根据《内部控制实施指南》和《内部控制应用指南》，结合学校风险评估情况，制定内部控制评价办法，规定评价的原则、内容、程序、方法和报告形式等，明确相关机构或岗位的职责权限，落实责任制，有序开展内部控制评价工作。</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sz w:val="32"/>
          <w:szCs w:val="30"/>
        </w:rPr>
        <w:t xml:space="preserve"> </w:t>
      </w:r>
      <w:r>
        <w:rPr>
          <w:rFonts w:ascii="仿宋_GB2312" w:eastAsia="仿宋_GB2312" w:hAnsi="华文中宋" w:hint="eastAsia"/>
          <w:sz w:val="32"/>
          <w:szCs w:val="30"/>
        </w:rPr>
        <w:t>高校内部控制评价与监督工作应由内部审计部门及纪检监察部门负责组织。高校可以委托具备资质的中介机构实施内部控制评价。</w:t>
      </w:r>
    </w:p>
    <w:p w:rsidR="00B532E3" w:rsidRDefault="00B532E3">
      <w:pPr>
        <w:widowControl/>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为保证评价与监督的独立性，负责内部控制建设和评价监督的校内负责部门应适当分离，为学校提供内部控制建设或内部控制审计服务的中介机构，不得同时为学校提供内部控制评价服务。</w:t>
      </w:r>
    </w:p>
    <w:p w:rsidR="00B532E3" w:rsidRDefault="00B532E3" w:rsidP="00984DDA">
      <w:pPr>
        <w:pStyle w:val="Heading2"/>
        <w:numPr>
          <w:ilvl w:val="0"/>
          <w:numId w:val="35"/>
        </w:numPr>
        <w:adjustRightInd w:val="0"/>
        <w:spacing w:beforeLines="100" w:after="0" w:line="240" w:lineRule="auto"/>
        <w:contextualSpacing/>
        <w:jc w:val="center"/>
        <w:rPr>
          <w:rFonts w:ascii="华文中宋" w:eastAsia="华文中宋" w:hAnsi="华文中宋"/>
          <w:b w:val="0"/>
        </w:rPr>
      </w:pPr>
      <w:r>
        <w:rPr>
          <w:rFonts w:ascii="华文中宋" w:eastAsia="华文中宋" w:hAnsi="华文中宋" w:hint="eastAsia"/>
          <w:b w:val="0"/>
        </w:rPr>
        <w:t>内部控制评价内容</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sz w:val="32"/>
          <w:szCs w:val="30"/>
        </w:rPr>
        <w:t xml:space="preserve"> </w:t>
      </w:r>
      <w:r>
        <w:rPr>
          <w:rFonts w:ascii="仿宋_GB2312" w:eastAsia="仿宋_GB2312" w:hAnsi="华文中宋" w:hint="eastAsia"/>
          <w:sz w:val="32"/>
          <w:szCs w:val="30"/>
        </w:rPr>
        <w:t>高校内部控制建立的有效性评价应主要考虑以下方面：</w:t>
      </w:r>
    </w:p>
    <w:p w:rsidR="00B532E3" w:rsidRDefault="00B532E3">
      <w:pPr>
        <w:widowControl/>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（一）合法合规性。内部控制的建立是否符合《行政事业单位内部控制规范（试行）》、《内部控制实施指南》、《内部控制应用指南》及国家相关法律、法规的规定。</w:t>
      </w:r>
    </w:p>
    <w:p w:rsidR="00B532E3" w:rsidRDefault="00B532E3">
      <w:pPr>
        <w:widowControl/>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（二）全面性。内部控制的建立是否覆盖了学校及所属单位所有的经济活动、经济活动的全过程、所有内部控制关键岗位、各相关部门及工作人员和相关工作任务。</w:t>
      </w:r>
    </w:p>
    <w:p w:rsidR="00B532E3" w:rsidRDefault="00B532E3">
      <w:pPr>
        <w:widowControl/>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（三）重要性。内部控制的建立对重要经济活动和经济活动的重大风险是否给予足够关注，并建立相应的控制措施。是否重点关注了学校的各关键部门和岗位、重大政策落实、重点专项执行和高风险领域。</w:t>
      </w:r>
    </w:p>
    <w:p w:rsidR="00B532E3" w:rsidRDefault="00B532E3">
      <w:pPr>
        <w:widowControl/>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（四）适应性。内部控制的建立是否根据国家相关政策、学校经济活动的调整和自身条件的变化，适时调整内部控制的关键控制点和控制措施。</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sz w:val="32"/>
          <w:szCs w:val="30"/>
        </w:rPr>
        <w:t xml:space="preserve"> </w:t>
      </w:r>
      <w:r>
        <w:rPr>
          <w:rFonts w:ascii="仿宋_GB2312" w:eastAsia="仿宋_GB2312" w:hAnsi="华文中宋" w:hint="eastAsia"/>
          <w:sz w:val="32"/>
          <w:szCs w:val="30"/>
        </w:rPr>
        <w:t>高校内部控制执行的有效性评价应主要考虑以下四方面：</w:t>
      </w:r>
    </w:p>
    <w:p w:rsidR="00B532E3" w:rsidRDefault="00B532E3">
      <w:pPr>
        <w:widowControl/>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（一）各项经济业务控制在评价期内是否按规定运行。</w:t>
      </w:r>
    </w:p>
    <w:p w:rsidR="00B532E3" w:rsidRDefault="00B532E3">
      <w:pPr>
        <w:widowControl/>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（二）各项经济业务控制是否得到持续、一致的执行。</w:t>
      </w:r>
    </w:p>
    <w:p w:rsidR="00B532E3" w:rsidRDefault="00B532E3">
      <w:pPr>
        <w:widowControl/>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（三）相关内部控制机制、内部管理制度、岗位责任制、内部控制措施是否得到有效执行。</w:t>
      </w:r>
    </w:p>
    <w:p w:rsidR="00B532E3" w:rsidRDefault="00B532E3">
      <w:pPr>
        <w:widowControl/>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（四）执行业务控制的相关人员是否具备必要的权限、资格和能力。</w:t>
      </w:r>
    </w:p>
    <w:p w:rsidR="00B532E3" w:rsidRDefault="00B532E3" w:rsidP="00984DDA">
      <w:pPr>
        <w:pStyle w:val="Heading2"/>
        <w:numPr>
          <w:ilvl w:val="0"/>
          <w:numId w:val="35"/>
        </w:numPr>
        <w:adjustRightInd w:val="0"/>
        <w:spacing w:beforeLines="100" w:after="0" w:line="240" w:lineRule="auto"/>
        <w:contextualSpacing/>
        <w:jc w:val="center"/>
        <w:rPr>
          <w:rFonts w:ascii="华文中宋" w:eastAsia="华文中宋" w:hAnsi="华文中宋"/>
          <w:b w:val="0"/>
        </w:rPr>
      </w:pPr>
      <w:r>
        <w:rPr>
          <w:rFonts w:ascii="华文中宋" w:eastAsia="华文中宋" w:hAnsi="华文中宋" w:hint="eastAsia"/>
          <w:b w:val="0"/>
        </w:rPr>
        <w:t>内部控制评价方法</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sz w:val="32"/>
          <w:szCs w:val="30"/>
        </w:rPr>
        <w:t xml:space="preserve"> </w:t>
      </w:r>
      <w:r>
        <w:rPr>
          <w:rFonts w:ascii="仿宋_GB2312" w:eastAsia="仿宋_GB2312" w:hAnsi="华文中宋" w:hint="eastAsia"/>
          <w:sz w:val="32"/>
          <w:szCs w:val="30"/>
        </w:rPr>
        <w:t>负责内部控制评价工作的部门或具有资质的中介机构，应当对校内被评价部门进行现场调查，综合运用个别访谈、调查问卷、专题讨论、实地查验、抽样和比较分析等方法，充分收集被评价部门内部控制设计和运行是否有效的证据，按照评价的具体内容，如实填写评价工作底稿，研究分析内部控制风险。</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负责内部控制评价工作的部门或具有资质的中介机构，应当根据现场调查获取的证据，对内部控制风险进行初步认定，按影响程度分为重大风险、重要风险和一般风险。</w:t>
      </w:r>
    </w:p>
    <w:p w:rsidR="00B532E3" w:rsidRDefault="00B532E3">
      <w:pPr>
        <w:widowControl/>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重大风险，是指一个或多个控制风险的组合，可能导致学校严重偏离控制目标，严重影响学校的事业发展。重要风险，是指一个或多个控制风险的组合，其严重程度和经济后果低于重大风险，但仍有可能导致学校偏离控制目标，影响学校事业发展。一般风险，是指除重大风险、重要风险之外的其他风险。</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负责内部控制评价工作的部门或具有资质的中介机构，应当编制内部控制风险认定汇总表，对内部控制风险及其成因、表现形式和影响程度进行综合分析和全面复核后提出认定意见。</w:t>
      </w:r>
    </w:p>
    <w:p w:rsidR="00B532E3" w:rsidRDefault="00B532E3">
      <w:pPr>
        <w:widowControl/>
        <w:ind w:firstLineChars="200" w:firstLine="640"/>
        <w:contextualSpacing/>
        <w:rPr>
          <w:rFonts w:ascii="仿宋_GB2312" w:eastAsia="仿宋_GB2312" w:hAnsi="华文中宋"/>
          <w:sz w:val="32"/>
          <w:szCs w:val="30"/>
        </w:rPr>
      </w:pPr>
      <w:r>
        <w:rPr>
          <w:rFonts w:ascii="仿宋_GB2312" w:eastAsia="仿宋_GB2312" w:hAnsi="华文中宋" w:hint="eastAsia"/>
          <w:sz w:val="32"/>
          <w:szCs w:val="30"/>
        </w:rPr>
        <w:t>对内部控制风险的认定，应当以日常监督和专项监督为基础，结合年度内部控制评估，由内部控制评价部门进行综合分析，按照规定的权限和程序进行审核后予以最终认定。</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负责内部控制评价的部门或机构在完成评价工作后，应出具内部控制评价报告。内部控制评价报告至少应当包括真实性声明、评价工作总体情况、评价依据、评价范围、评价程序和方法、风险及其认定、风险整改及对重大风险拟采取的控制措施、评价结论等内容。</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评价报告应提交给学校负责人和内部控制归口管理部门。高校的内部控制归口管理及相关部门应根据评价报告及时进行整改。</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高校应当以每年的</w:t>
      </w:r>
      <w:r>
        <w:rPr>
          <w:rFonts w:ascii="仿宋_GB2312" w:eastAsia="仿宋_GB2312" w:hAnsi="华文中宋"/>
          <w:sz w:val="32"/>
          <w:szCs w:val="30"/>
        </w:rPr>
        <w:t>12</w:t>
      </w:r>
      <w:r>
        <w:rPr>
          <w:rFonts w:ascii="仿宋_GB2312" w:eastAsia="仿宋_GB2312" w:hAnsi="华文中宋" w:hint="eastAsia"/>
          <w:sz w:val="32"/>
          <w:szCs w:val="30"/>
        </w:rPr>
        <w:t>月</w:t>
      </w:r>
      <w:r>
        <w:rPr>
          <w:rFonts w:ascii="仿宋_GB2312" w:eastAsia="仿宋_GB2312" w:hAnsi="华文中宋"/>
          <w:sz w:val="32"/>
          <w:szCs w:val="30"/>
        </w:rPr>
        <w:t>31</w:t>
      </w:r>
      <w:r>
        <w:rPr>
          <w:rFonts w:ascii="仿宋_GB2312" w:eastAsia="仿宋_GB2312" w:hAnsi="华文中宋" w:hint="eastAsia"/>
          <w:sz w:val="32"/>
          <w:szCs w:val="30"/>
        </w:rPr>
        <w:t>日作为年度内部控制评价报告的基准日，并于</w:t>
      </w:r>
      <w:r>
        <w:rPr>
          <w:rFonts w:ascii="仿宋_GB2312" w:eastAsia="仿宋_GB2312" w:hAnsi="华文中宋"/>
          <w:sz w:val="32"/>
          <w:szCs w:val="30"/>
        </w:rPr>
        <w:t>6</w:t>
      </w:r>
      <w:r>
        <w:rPr>
          <w:rFonts w:ascii="仿宋_GB2312" w:eastAsia="仿宋_GB2312" w:hAnsi="华文中宋" w:hint="eastAsia"/>
          <w:sz w:val="32"/>
          <w:szCs w:val="30"/>
        </w:rPr>
        <w:t>个月内形成内部控制评价报告。</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高校应当建立内部控制评价工作档案管理制度。内部控制评价的有关文件资料、工作底稿和证明材料等应当妥善保管、及时归档。</w:t>
      </w:r>
    </w:p>
    <w:p w:rsidR="00B532E3" w:rsidRDefault="00B532E3" w:rsidP="00984DDA">
      <w:pPr>
        <w:pStyle w:val="Heading2"/>
        <w:numPr>
          <w:ilvl w:val="0"/>
          <w:numId w:val="35"/>
        </w:numPr>
        <w:adjustRightInd w:val="0"/>
        <w:spacing w:beforeLines="100" w:after="0" w:line="240" w:lineRule="auto"/>
        <w:contextualSpacing/>
        <w:jc w:val="center"/>
        <w:rPr>
          <w:rFonts w:ascii="华文中宋" w:eastAsia="华文中宋" w:hAnsi="华文中宋"/>
          <w:b w:val="0"/>
        </w:rPr>
      </w:pPr>
      <w:r>
        <w:rPr>
          <w:rFonts w:ascii="华文中宋" w:eastAsia="华文中宋" w:hAnsi="华文中宋" w:hint="eastAsia"/>
          <w:b w:val="0"/>
        </w:rPr>
        <w:t>内部控制监督</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高校应加强内部控制的监督工作，主动接受校内外监督部门的检查，确保内部控制制度有效实施。</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高校负责内部监督的部门或岗位应定期或不定期检查学校内部控制体系的完善与内部控制规范的执行情况，以及内部控制关键岗位及人员的设置情况等，及时发现内部控制中存在的问题并提出改进建议。</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高校应当根据学校实际情况确定内部监督检查的方法、范围和频率，日常监督可以选择重点业务、重要经济事项，全面监督检查原则上一年不能少于一次。</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高校应依法接受教育、财政、审计、纪检监察等部门对学校内部控制建立和实施情况进行的监督检查。</w:t>
      </w:r>
    </w:p>
    <w:p w:rsidR="00B532E3" w:rsidRDefault="00B532E3">
      <w:pPr>
        <w:pStyle w:val="1"/>
        <w:numPr>
          <w:ilvl w:val="0"/>
          <w:numId w:val="36"/>
        </w:numPr>
        <w:ind w:left="0" w:firstLine="640"/>
        <w:contextualSpacing/>
        <w:rPr>
          <w:rFonts w:ascii="仿宋_GB2312" w:eastAsia="仿宋_GB2312" w:hAnsi="华文中宋"/>
          <w:sz w:val="32"/>
          <w:szCs w:val="30"/>
        </w:rPr>
      </w:pPr>
      <w:r>
        <w:rPr>
          <w:rFonts w:ascii="仿宋_GB2312" w:eastAsia="仿宋_GB2312" w:hAnsi="华文中宋" w:hint="eastAsia"/>
          <w:sz w:val="32"/>
          <w:szCs w:val="30"/>
        </w:rPr>
        <w:t>高校应当高度重视外部监督部门审计检查中发现的内部控制风险和提出的整改意见建议，积极进行整改落实，提高内部控制体系的健全性和有效性，促进高校持续健康发展。</w:t>
      </w:r>
    </w:p>
    <w:p w:rsidR="00B532E3" w:rsidRDefault="00B532E3">
      <w:pPr>
        <w:ind w:firstLineChars="200" w:firstLine="640"/>
        <w:contextualSpacing/>
        <w:rPr>
          <w:rFonts w:ascii="仿宋_GB2312" w:eastAsia="仿宋_GB2312" w:hAnsi="仿宋"/>
          <w:sz w:val="32"/>
          <w:szCs w:val="32"/>
        </w:rPr>
      </w:pPr>
      <w:bookmarkStart w:id="169" w:name="6_1"/>
      <w:bookmarkStart w:id="170" w:name="2_3"/>
      <w:bookmarkStart w:id="171" w:name="6"/>
      <w:bookmarkStart w:id="172" w:name="5_2"/>
      <w:bookmarkStart w:id="173" w:name="6_3"/>
      <w:bookmarkStart w:id="174" w:name="6_8"/>
      <w:bookmarkStart w:id="175" w:name="5_4"/>
      <w:bookmarkStart w:id="176" w:name="缺陷认定_第十九条"/>
      <w:bookmarkStart w:id="177" w:name="评价报告_第二十条"/>
      <w:bookmarkStart w:id="178" w:name="缺陷认定_第十七条"/>
      <w:bookmarkStart w:id="179" w:name="sub5001055_5_4"/>
      <w:bookmarkStart w:id="180" w:name="sub5001055_5_2"/>
      <w:bookmarkStart w:id="181" w:name="sub5001055_6_3"/>
      <w:bookmarkStart w:id="182" w:name="总则_第三条"/>
      <w:bookmarkStart w:id="183" w:name="sub5001055_6_1"/>
      <w:bookmarkStart w:id="184" w:name="sub5001055_6"/>
      <w:bookmarkStart w:id="185" w:name="评价报告"/>
      <w:bookmarkStart w:id="186" w:name="sub5001055_6_8"/>
      <w:bookmarkStart w:id="187" w:name="sub5001055_2_3"/>
      <w:bookmarkStart w:id="188" w:name="评价报告_第二十二条"/>
      <w:bookmarkStart w:id="189" w:name="评价报告_第二十七条"/>
      <w:bookmarkEnd w:id="169"/>
      <w:bookmarkEnd w:id="170"/>
      <w:bookmarkEnd w:id="171"/>
      <w:bookmarkEnd w:id="172"/>
      <w:bookmarkEnd w:id="173"/>
      <w:bookmarkEnd w:id="174"/>
      <w:bookmarkEnd w:id="175"/>
      <w:bookmarkEnd w:id="168"/>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sectPr w:rsidR="00B532E3" w:rsidSect="00CE36C7">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2E3" w:rsidRDefault="00B532E3" w:rsidP="00CE36C7">
      <w:r>
        <w:separator/>
      </w:r>
    </w:p>
  </w:endnote>
  <w:endnote w:type="continuationSeparator" w:id="0">
    <w:p w:rsidR="00B532E3" w:rsidRDefault="00B532E3" w:rsidP="00CE36C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E3" w:rsidRDefault="00B532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E3" w:rsidRDefault="00B532E3">
    <w:pPr>
      <w:pStyle w:val="Footer"/>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B532E3" w:rsidRDefault="00B532E3">
                <w:pPr>
                  <w:pStyle w:val="Footer"/>
                  <w:jc w:val="center"/>
                </w:pPr>
                <w:fldSimple w:instr=" PAGE   \* MERGEFORMAT ">
                  <w:r w:rsidRPr="00984DDA">
                    <w:rPr>
                      <w:noProof/>
                      <w:lang w:val="zh-CN"/>
                    </w:rPr>
                    <w:t>1</w:t>
                  </w:r>
                </w:fldSimple>
              </w:p>
            </w:txbxContent>
          </v:textbox>
          <w10:wrap anchorx="margin"/>
        </v:shape>
      </w:pict>
    </w:r>
  </w:p>
  <w:p w:rsidR="00B532E3" w:rsidRDefault="00B532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2E3" w:rsidRDefault="00B532E3" w:rsidP="00CE36C7">
      <w:r>
        <w:separator/>
      </w:r>
    </w:p>
  </w:footnote>
  <w:footnote w:type="continuationSeparator" w:id="0">
    <w:p w:rsidR="00B532E3" w:rsidRDefault="00B532E3" w:rsidP="00CE3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E3" w:rsidRDefault="00B532E3">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234"/>
    <w:multiLevelType w:val="multilevel"/>
    <w:tmpl w:val="044F0234"/>
    <w:lvl w:ilvl="0">
      <w:start w:val="1"/>
      <w:numFmt w:val="chineseCountingThousand"/>
      <w:lvlText w:val="第%1条"/>
      <w:lvlJc w:val="left"/>
      <w:pPr>
        <w:ind w:left="1696"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1">
    <w:nsid w:val="061F0082"/>
    <w:multiLevelType w:val="multilevel"/>
    <w:tmpl w:val="061F0082"/>
    <w:lvl w:ilvl="0">
      <w:start w:val="1"/>
      <w:numFmt w:val="chineseCountingThousand"/>
      <w:lvlText w:val="（%1）"/>
      <w:lvlJc w:val="left"/>
      <w:pPr>
        <w:ind w:left="1624" w:hanging="420"/>
      </w:pPr>
      <w:rPr>
        <w:rFonts w:eastAsia="仿宋_GB2312"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
    <w:nsid w:val="0D274783"/>
    <w:multiLevelType w:val="multilevel"/>
    <w:tmpl w:val="0D274783"/>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
    <w:nsid w:val="0DFB0FA8"/>
    <w:multiLevelType w:val="multilevel"/>
    <w:tmpl w:val="0DFB0FA8"/>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4">
    <w:nsid w:val="11BF099D"/>
    <w:multiLevelType w:val="multilevel"/>
    <w:tmpl w:val="11BF099D"/>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5">
    <w:nsid w:val="1C105326"/>
    <w:multiLevelType w:val="multilevel"/>
    <w:tmpl w:val="1C105326"/>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6">
    <w:nsid w:val="1EAB3FAA"/>
    <w:multiLevelType w:val="multilevel"/>
    <w:tmpl w:val="1EAB3FAA"/>
    <w:lvl w:ilvl="0">
      <w:start w:val="1"/>
      <w:numFmt w:val="chineseCountingThousand"/>
      <w:lvlText w:val="第%1章"/>
      <w:lvlJc w:val="left"/>
      <w:pPr>
        <w:ind w:left="3964"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
    <w:nsid w:val="222D3E90"/>
    <w:multiLevelType w:val="multilevel"/>
    <w:tmpl w:val="222D3E90"/>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8">
    <w:nsid w:val="230E7BE7"/>
    <w:multiLevelType w:val="multilevel"/>
    <w:tmpl w:val="230E7BE7"/>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9">
    <w:nsid w:val="24ED4E64"/>
    <w:multiLevelType w:val="multilevel"/>
    <w:tmpl w:val="24ED4E64"/>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nsid w:val="25B426CD"/>
    <w:multiLevelType w:val="multilevel"/>
    <w:tmpl w:val="25B426CD"/>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11">
    <w:nsid w:val="27B16982"/>
    <w:multiLevelType w:val="multilevel"/>
    <w:tmpl w:val="27B16982"/>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2">
    <w:nsid w:val="290A3176"/>
    <w:multiLevelType w:val="multilevel"/>
    <w:tmpl w:val="290A3176"/>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13">
    <w:nsid w:val="2C003B57"/>
    <w:multiLevelType w:val="multilevel"/>
    <w:tmpl w:val="2C003B57"/>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14">
    <w:nsid w:val="2F3B1BC2"/>
    <w:multiLevelType w:val="multilevel"/>
    <w:tmpl w:val="2F3B1BC2"/>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5">
    <w:nsid w:val="33005223"/>
    <w:multiLevelType w:val="multilevel"/>
    <w:tmpl w:val="33005223"/>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6">
    <w:nsid w:val="3791005A"/>
    <w:multiLevelType w:val="multilevel"/>
    <w:tmpl w:val="3791005A"/>
    <w:lvl w:ilvl="0">
      <w:start w:val="1"/>
      <w:numFmt w:val="japaneseCounting"/>
      <w:lvlText w:val="第%1条"/>
      <w:lvlJc w:val="left"/>
      <w:pPr>
        <w:ind w:left="2428" w:hanging="1788"/>
      </w:pPr>
      <w:rPr>
        <w:rFonts w:ascii="黑体" w:eastAsia="黑体" w:hAnsi="黑体" w:cs="Times New Roman" w:hint="default"/>
      </w:rPr>
    </w:lvl>
    <w:lvl w:ilvl="1">
      <w:start w:val="1"/>
      <w:numFmt w:val="chineseCountingThousand"/>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17">
    <w:nsid w:val="43B12183"/>
    <w:multiLevelType w:val="multilevel"/>
    <w:tmpl w:val="43B12183"/>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18">
    <w:nsid w:val="461A1A9C"/>
    <w:multiLevelType w:val="multilevel"/>
    <w:tmpl w:val="461A1A9C"/>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9">
    <w:nsid w:val="4E51518B"/>
    <w:multiLevelType w:val="multilevel"/>
    <w:tmpl w:val="4E51518B"/>
    <w:lvl w:ilvl="0">
      <w:start w:val="1"/>
      <w:numFmt w:val="chineseCountingThousand"/>
      <w:lvlText w:val="第%1条"/>
      <w:lvlJc w:val="left"/>
      <w:pPr>
        <w:ind w:left="1129"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20">
    <w:nsid w:val="54870719"/>
    <w:multiLevelType w:val="multilevel"/>
    <w:tmpl w:val="54870719"/>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1">
    <w:nsid w:val="59090581"/>
    <w:multiLevelType w:val="multilevel"/>
    <w:tmpl w:val="59090581"/>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22">
    <w:nsid w:val="5ECB5752"/>
    <w:multiLevelType w:val="multilevel"/>
    <w:tmpl w:val="5ECB5752"/>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23">
    <w:nsid w:val="67870042"/>
    <w:multiLevelType w:val="multilevel"/>
    <w:tmpl w:val="67870042"/>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4">
    <w:nsid w:val="68845C47"/>
    <w:multiLevelType w:val="multilevel"/>
    <w:tmpl w:val="68845C47"/>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5">
    <w:nsid w:val="6A312F38"/>
    <w:multiLevelType w:val="multilevel"/>
    <w:tmpl w:val="6A312F38"/>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nsid w:val="6AA21F25"/>
    <w:multiLevelType w:val="multilevel"/>
    <w:tmpl w:val="6AA21F25"/>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27">
    <w:nsid w:val="6AFF7488"/>
    <w:multiLevelType w:val="multilevel"/>
    <w:tmpl w:val="6AFF7488"/>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8">
    <w:nsid w:val="6C7B0408"/>
    <w:multiLevelType w:val="multilevel"/>
    <w:tmpl w:val="6C7B0408"/>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9">
    <w:nsid w:val="6FB72054"/>
    <w:multiLevelType w:val="multilevel"/>
    <w:tmpl w:val="6FB72054"/>
    <w:lvl w:ilvl="0">
      <w:start w:val="1"/>
      <w:numFmt w:val="chineseCountingThousand"/>
      <w:suff w:val="space"/>
      <w:lvlText w:val="第%1条"/>
      <w:lvlJc w:val="left"/>
      <w:pPr>
        <w:ind w:left="7083"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30">
    <w:nsid w:val="70C16F42"/>
    <w:multiLevelType w:val="multilevel"/>
    <w:tmpl w:val="70C16F42"/>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1">
    <w:nsid w:val="71261D7E"/>
    <w:multiLevelType w:val="multilevel"/>
    <w:tmpl w:val="71261D7E"/>
    <w:lvl w:ilvl="0">
      <w:start w:val="1"/>
      <w:numFmt w:val="chineseCountingThousand"/>
      <w:lvlText w:val="（%1）"/>
      <w:lvlJc w:val="left"/>
      <w:pPr>
        <w:ind w:left="3539" w:hanging="420"/>
      </w:pPr>
      <w:rPr>
        <w:rFonts w:cs="Times New Roman" w:hint="eastAsia"/>
        <w:color w:val="auto"/>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2">
    <w:nsid w:val="77EC7319"/>
    <w:multiLevelType w:val="multilevel"/>
    <w:tmpl w:val="77EC7319"/>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33">
    <w:nsid w:val="7B8C71E9"/>
    <w:multiLevelType w:val="multilevel"/>
    <w:tmpl w:val="7B8C71E9"/>
    <w:lvl w:ilvl="0">
      <w:start w:val="1"/>
      <w:numFmt w:val="chineseCountingThousand"/>
      <w:lvlText w:val="第%1条"/>
      <w:lvlJc w:val="left"/>
      <w:pPr>
        <w:ind w:left="2121" w:hanging="420"/>
      </w:pPr>
      <w:rPr>
        <w:rFonts w:ascii="黑体" w:eastAsia="黑体" w:hAnsi="黑体" w:cs="Times New Roman" w:hint="eastAsia"/>
        <w:b w:val="0"/>
        <w:i w:val="0"/>
        <w:color w:val="00000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abstractNum w:abstractNumId="34">
    <w:nsid w:val="7D05084E"/>
    <w:multiLevelType w:val="multilevel"/>
    <w:tmpl w:val="7D05084E"/>
    <w:lvl w:ilvl="0">
      <w:start w:val="1"/>
      <w:numFmt w:val="chineseCountingThousand"/>
      <w:lvlText w:val="第%1章"/>
      <w:lvlJc w:val="left"/>
      <w:pPr>
        <w:ind w:left="420" w:hanging="420"/>
      </w:pPr>
      <w:rPr>
        <w:rFonts w:cs="Times New Roman" w:hint="eastAsia"/>
        <w:b w:val="0"/>
        <w:i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5">
    <w:nsid w:val="7EA60A13"/>
    <w:multiLevelType w:val="multilevel"/>
    <w:tmpl w:val="7EA60A13"/>
    <w:lvl w:ilvl="0">
      <w:start w:val="1"/>
      <w:numFmt w:val="chineseCountingThousand"/>
      <w:lvlText w:val="第%1条"/>
      <w:lvlJc w:val="left"/>
      <w:pPr>
        <w:ind w:left="1060" w:hanging="420"/>
      </w:pPr>
      <w:rPr>
        <w:rFonts w:ascii="黑体" w:eastAsia="黑体" w:hAnsi="黑体" w:cs="Times New Roman" w:hint="eastAsia"/>
        <w:b w:val="0"/>
        <w:i w:val="0"/>
      </w:rPr>
    </w:lvl>
    <w:lvl w:ilvl="1" w:tentative="1">
      <w:start w:val="1"/>
      <w:numFmt w:val="lowerLetter"/>
      <w:lvlText w:val="%2)"/>
      <w:lvlJc w:val="left"/>
      <w:pPr>
        <w:ind w:left="1480" w:hanging="420"/>
      </w:pPr>
      <w:rPr>
        <w:rFonts w:cs="Times New Roman"/>
      </w:rPr>
    </w:lvl>
    <w:lvl w:ilvl="2" w:tentative="1">
      <w:start w:val="1"/>
      <w:numFmt w:val="lowerRoman"/>
      <w:lvlText w:val="%3."/>
      <w:lvlJc w:val="right"/>
      <w:pPr>
        <w:ind w:left="1900" w:hanging="420"/>
      </w:pPr>
      <w:rPr>
        <w:rFonts w:cs="Times New Roman"/>
      </w:rPr>
    </w:lvl>
    <w:lvl w:ilvl="3" w:tentative="1">
      <w:start w:val="1"/>
      <w:numFmt w:val="decimal"/>
      <w:lvlText w:val="%4."/>
      <w:lvlJc w:val="left"/>
      <w:pPr>
        <w:ind w:left="2320" w:hanging="420"/>
      </w:pPr>
      <w:rPr>
        <w:rFonts w:cs="Times New Roman"/>
      </w:rPr>
    </w:lvl>
    <w:lvl w:ilvl="4" w:tentative="1">
      <w:start w:val="1"/>
      <w:numFmt w:val="lowerLetter"/>
      <w:lvlText w:val="%5)"/>
      <w:lvlJc w:val="left"/>
      <w:pPr>
        <w:ind w:left="2740" w:hanging="420"/>
      </w:pPr>
      <w:rPr>
        <w:rFonts w:cs="Times New Roman"/>
      </w:rPr>
    </w:lvl>
    <w:lvl w:ilvl="5" w:tentative="1">
      <w:start w:val="1"/>
      <w:numFmt w:val="lowerRoman"/>
      <w:lvlText w:val="%6."/>
      <w:lvlJc w:val="right"/>
      <w:pPr>
        <w:ind w:left="3160" w:hanging="420"/>
      </w:pPr>
      <w:rPr>
        <w:rFonts w:cs="Times New Roman"/>
      </w:rPr>
    </w:lvl>
    <w:lvl w:ilvl="6" w:tentative="1">
      <w:start w:val="1"/>
      <w:numFmt w:val="decimal"/>
      <w:lvlText w:val="%7."/>
      <w:lvlJc w:val="left"/>
      <w:pPr>
        <w:ind w:left="3580" w:hanging="420"/>
      </w:pPr>
      <w:rPr>
        <w:rFonts w:cs="Times New Roman"/>
      </w:rPr>
    </w:lvl>
    <w:lvl w:ilvl="7" w:tentative="1">
      <w:start w:val="1"/>
      <w:numFmt w:val="lowerLetter"/>
      <w:lvlText w:val="%8)"/>
      <w:lvlJc w:val="left"/>
      <w:pPr>
        <w:ind w:left="4000" w:hanging="420"/>
      </w:pPr>
      <w:rPr>
        <w:rFonts w:cs="Times New Roman"/>
      </w:rPr>
    </w:lvl>
    <w:lvl w:ilvl="8" w:tentative="1">
      <w:start w:val="1"/>
      <w:numFmt w:val="lowerRoman"/>
      <w:lvlText w:val="%9."/>
      <w:lvlJc w:val="right"/>
      <w:pPr>
        <w:ind w:left="4420" w:hanging="420"/>
      </w:pPr>
      <w:rPr>
        <w:rFonts w:cs="Times New Roman"/>
      </w:rPr>
    </w:lvl>
  </w:abstractNum>
  <w:num w:numId="1">
    <w:abstractNumId w:val="16"/>
  </w:num>
  <w:num w:numId="2">
    <w:abstractNumId w:val="9"/>
  </w:num>
  <w:num w:numId="3">
    <w:abstractNumId w:val="19"/>
  </w:num>
  <w:num w:numId="4">
    <w:abstractNumId w:val="20"/>
  </w:num>
  <w:num w:numId="5">
    <w:abstractNumId w:val="29"/>
  </w:num>
  <w:num w:numId="6">
    <w:abstractNumId w:val="18"/>
  </w:num>
  <w:num w:numId="7">
    <w:abstractNumId w:val="3"/>
  </w:num>
  <w:num w:numId="8">
    <w:abstractNumId w:val="25"/>
  </w:num>
  <w:num w:numId="9">
    <w:abstractNumId w:val="32"/>
  </w:num>
  <w:num w:numId="10">
    <w:abstractNumId w:val="30"/>
  </w:num>
  <w:num w:numId="11">
    <w:abstractNumId w:val="21"/>
  </w:num>
  <w:num w:numId="12">
    <w:abstractNumId w:val="28"/>
  </w:num>
  <w:num w:numId="13">
    <w:abstractNumId w:val="33"/>
  </w:num>
  <w:num w:numId="14">
    <w:abstractNumId w:val="34"/>
  </w:num>
  <w:num w:numId="15">
    <w:abstractNumId w:val="22"/>
  </w:num>
  <w:num w:numId="16">
    <w:abstractNumId w:val="6"/>
  </w:num>
  <w:num w:numId="17">
    <w:abstractNumId w:val="13"/>
  </w:num>
  <w:num w:numId="18">
    <w:abstractNumId w:val="14"/>
  </w:num>
  <w:num w:numId="19">
    <w:abstractNumId w:val="10"/>
  </w:num>
  <w:num w:numId="20">
    <w:abstractNumId w:val="31"/>
  </w:num>
  <w:num w:numId="21">
    <w:abstractNumId w:val="8"/>
  </w:num>
  <w:num w:numId="22">
    <w:abstractNumId w:val="11"/>
  </w:num>
  <w:num w:numId="23">
    <w:abstractNumId w:val="0"/>
  </w:num>
  <w:num w:numId="24">
    <w:abstractNumId w:val="1"/>
  </w:num>
  <w:num w:numId="25">
    <w:abstractNumId w:val="15"/>
  </w:num>
  <w:num w:numId="26">
    <w:abstractNumId w:val="35"/>
  </w:num>
  <w:num w:numId="27">
    <w:abstractNumId w:val="23"/>
  </w:num>
  <w:num w:numId="28">
    <w:abstractNumId w:val="4"/>
  </w:num>
  <w:num w:numId="29">
    <w:abstractNumId w:val="24"/>
  </w:num>
  <w:num w:numId="30">
    <w:abstractNumId w:val="26"/>
  </w:num>
  <w:num w:numId="31">
    <w:abstractNumId w:val="7"/>
  </w:num>
  <w:num w:numId="32">
    <w:abstractNumId w:val="12"/>
  </w:num>
  <w:num w:numId="33">
    <w:abstractNumId w:val="2"/>
  </w:num>
  <w:num w:numId="34">
    <w:abstractNumId w:val="5"/>
  </w:num>
  <w:num w:numId="35">
    <w:abstractNumId w:val="27"/>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0A45"/>
    <w:rsid w:val="000020CF"/>
    <w:rsid w:val="0000361B"/>
    <w:rsid w:val="000067A1"/>
    <w:rsid w:val="00007476"/>
    <w:rsid w:val="00011195"/>
    <w:rsid w:val="00012F59"/>
    <w:rsid w:val="000135FD"/>
    <w:rsid w:val="00016697"/>
    <w:rsid w:val="00016D9A"/>
    <w:rsid w:val="0002001E"/>
    <w:rsid w:val="0002036D"/>
    <w:rsid w:val="00020504"/>
    <w:rsid w:val="00020601"/>
    <w:rsid w:val="000216DE"/>
    <w:rsid w:val="00022144"/>
    <w:rsid w:val="00022A71"/>
    <w:rsid w:val="000234D1"/>
    <w:rsid w:val="000261FB"/>
    <w:rsid w:val="00027040"/>
    <w:rsid w:val="00030B8A"/>
    <w:rsid w:val="000315B0"/>
    <w:rsid w:val="000327D8"/>
    <w:rsid w:val="00032BE7"/>
    <w:rsid w:val="00034B94"/>
    <w:rsid w:val="000350E4"/>
    <w:rsid w:val="00035B6D"/>
    <w:rsid w:val="00036BB2"/>
    <w:rsid w:val="00036DAC"/>
    <w:rsid w:val="0004185F"/>
    <w:rsid w:val="00043A5F"/>
    <w:rsid w:val="00044668"/>
    <w:rsid w:val="00045007"/>
    <w:rsid w:val="00045455"/>
    <w:rsid w:val="0004549B"/>
    <w:rsid w:val="00046078"/>
    <w:rsid w:val="0004609D"/>
    <w:rsid w:val="00047674"/>
    <w:rsid w:val="00053A3B"/>
    <w:rsid w:val="00053A6F"/>
    <w:rsid w:val="00055A24"/>
    <w:rsid w:val="00055AFF"/>
    <w:rsid w:val="00056553"/>
    <w:rsid w:val="00063EA3"/>
    <w:rsid w:val="00064535"/>
    <w:rsid w:val="000648F6"/>
    <w:rsid w:val="00065591"/>
    <w:rsid w:val="00071E10"/>
    <w:rsid w:val="00071EC7"/>
    <w:rsid w:val="000723DA"/>
    <w:rsid w:val="00072470"/>
    <w:rsid w:val="00073810"/>
    <w:rsid w:val="00073B06"/>
    <w:rsid w:val="00075B7A"/>
    <w:rsid w:val="00076733"/>
    <w:rsid w:val="0007673E"/>
    <w:rsid w:val="000768B5"/>
    <w:rsid w:val="00080C33"/>
    <w:rsid w:val="0008218C"/>
    <w:rsid w:val="0008249A"/>
    <w:rsid w:val="000826D8"/>
    <w:rsid w:val="00084340"/>
    <w:rsid w:val="000917D2"/>
    <w:rsid w:val="000949B4"/>
    <w:rsid w:val="000972AD"/>
    <w:rsid w:val="000A1688"/>
    <w:rsid w:val="000A2677"/>
    <w:rsid w:val="000A328F"/>
    <w:rsid w:val="000A4AB9"/>
    <w:rsid w:val="000A5F8C"/>
    <w:rsid w:val="000A6949"/>
    <w:rsid w:val="000A6C23"/>
    <w:rsid w:val="000A6FE9"/>
    <w:rsid w:val="000A71FD"/>
    <w:rsid w:val="000B00F9"/>
    <w:rsid w:val="000B189A"/>
    <w:rsid w:val="000B18DD"/>
    <w:rsid w:val="000B26DB"/>
    <w:rsid w:val="000B3FAA"/>
    <w:rsid w:val="000B5691"/>
    <w:rsid w:val="000B5E82"/>
    <w:rsid w:val="000B7F7A"/>
    <w:rsid w:val="000C04C0"/>
    <w:rsid w:val="000C1977"/>
    <w:rsid w:val="000C2409"/>
    <w:rsid w:val="000C72BC"/>
    <w:rsid w:val="000D1801"/>
    <w:rsid w:val="000D2AF3"/>
    <w:rsid w:val="000D2C6D"/>
    <w:rsid w:val="000D4407"/>
    <w:rsid w:val="000D4FB3"/>
    <w:rsid w:val="000D59B2"/>
    <w:rsid w:val="000D7B81"/>
    <w:rsid w:val="000E0627"/>
    <w:rsid w:val="000E3065"/>
    <w:rsid w:val="000E3A36"/>
    <w:rsid w:val="000E3FD0"/>
    <w:rsid w:val="000E4256"/>
    <w:rsid w:val="000E5F53"/>
    <w:rsid w:val="000E6FEA"/>
    <w:rsid w:val="000E784B"/>
    <w:rsid w:val="000F02C5"/>
    <w:rsid w:val="000F0CC1"/>
    <w:rsid w:val="000F1B88"/>
    <w:rsid w:val="000F411A"/>
    <w:rsid w:val="000F56DF"/>
    <w:rsid w:val="000F64A2"/>
    <w:rsid w:val="000F6AE8"/>
    <w:rsid w:val="001000A5"/>
    <w:rsid w:val="0010034D"/>
    <w:rsid w:val="00102055"/>
    <w:rsid w:val="001037A1"/>
    <w:rsid w:val="00103A41"/>
    <w:rsid w:val="00104130"/>
    <w:rsid w:val="001043E9"/>
    <w:rsid w:val="00104980"/>
    <w:rsid w:val="00105528"/>
    <w:rsid w:val="0011034D"/>
    <w:rsid w:val="00110903"/>
    <w:rsid w:val="00113333"/>
    <w:rsid w:val="00113AAB"/>
    <w:rsid w:val="00114CC2"/>
    <w:rsid w:val="0011550D"/>
    <w:rsid w:val="00115E0F"/>
    <w:rsid w:val="00116398"/>
    <w:rsid w:val="00116629"/>
    <w:rsid w:val="001166B1"/>
    <w:rsid w:val="001202FD"/>
    <w:rsid w:val="00121AAA"/>
    <w:rsid w:val="001221A9"/>
    <w:rsid w:val="001225C7"/>
    <w:rsid w:val="00123826"/>
    <w:rsid w:val="00123FCF"/>
    <w:rsid w:val="00124C44"/>
    <w:rsid w:val="00130C61"/>
    <w:rsid w:val="0013289E"/>
    <w:rsid w:val="001342F2"/>
    <w:rsid w:val="00141B66"/>
    <w:rsid w:val="0014312B"/>
    <w:rsid w:val="00143320"/>
    <w:rsid w:val="00144290"/>
    <w:rsid w:val="001442AB"/>
    <w:rsid w:val="00144781"/>
    <w:rsid w:val="00145488"/>
    <w:rsid w:val="00145843"/>
    <w:rsid w:val="00145DBD"/>
    <w:rsid w:val="001461A8"/>
    <w:rsid w:val="00146932"/>
    <w:rsid w:val="001478A9"/>
    <w:rsid w:val="001479EA"/>
    <w:rsid w:val="0015007E"/>
    <w:rsid w:val="0015150B"/>
    <w:rsid w:val="00151962"/>
    <w:rsid w:val="00152C01"/>
    <w:rsid w:val="00152D1E"/>
    <w:rsid w:val="0015385C"/>
    <w:rsid w:val="00154601"/>
    <w:rsid w:val="00154FBB"/>
    <w:rsid w:val="00155711"/>
    <w:rsid w:val="00157D04"/>
    <w:rsid w:val="00162A1A"/>
    <w:rsid w:val="00163310"/>
    <w:rsid w:val="001654CC"/>
    <w:rsid w:val="00165BD5"/>
    <w:rsid w:val="00166978"/>
    <w:rsid w:val="00166E58"/>
    <w:rsid w:val="00172562"/>
    <w:rsid w:val="00172844"/>
    <w:rsid w:val="001755F5"/>
    <w:rsid w:val="00175D3B"/>
    <w:rsid w:val="00176834"/>
    <w:rsid w:val="00180D1D"/>
    <w:rsid w:val="00184762"/>
    <w:rsid w:val="00187CDC"/>
    <w:rsid w:val="00187F82"/>
    <w:rsid w:val="00190ABE"/>
    <w:rsid w:val="0019124A"/>
    <w:rsid w:val="00191A00"/>
    <w:rsid w:val="0019257F"/>
    <w:rsid w:val="00194BD2"/>
    <w:rsid w:val="00194D5D"/>
    <w:rsid w:val="00195F63"/>
    <w:rsid w:val="001A3DCE"/>
    <w:rsid w:val="001A4580"/>
    <w:rsid w:val="001A45D2"/>
    <w:rsid w:val="001A5E61"/>
    <w:rsid w:val="001A631F"/>
    <w:rsid w:val="001A6A2A"/>
    <w:rsid w:val="001A7F86"/>
    <w:rsid w:val="001B1598"/>
    <w:rsid w:val="001B3122"/>
    <w:rsid w:val="001B3C02"/>
    <w:rsid w:val="001B3C4A"/>
    <w:rsid w:val="001B7094"/>
    <w:rsid w:val="001B7ADC"/>
    <w:rsid w:val="001C0634"/>
    <w:rsid w:val="001C2625"/>
    <w:rsid w:val="001C31C1"/>
    <w:rsid w:val="001C3BAA"/>
    <w:rsid w:val="001C4562"/>
    <w:rsid w:val="001C47DA"/>
    <w:rsid w:val="001C5E78"/>
    <w:rsid w:val="001D0509"/>
    <w:rsid w:val="001D18A3"/>
    <w:rsid w:val="001D1C3C"/>
    <w:rsid w:val="001D28AB"/>
    <w:rsid w:val="001D3D46"/>
    <w:rsid w:val="001D4BDF"/>
    <w:rsid w:val="001D4E45"/>
    <w:rsid w:val="001D6A06"/>
    <w:rsid w:val="001E003D"/>
    <w:rsid w:val="001E0B15"/>
    <w:rsid w:val="001E1C01"/>
    <w:rsid w:val="001E33CB"/>
    <w:rsid w:val="001E360C"/>
    <w:rsid w:val="001E4AD0"/>
    <w:rsid w:val="001E4F84"/>
    <w:rsid w:val="001E73DE"/>
    <w:rsid w:val="001E7633"/>
    <w:rsid w:val="001F03EF"/>
    <w:rsid w:val="001F1E95"/>
    <w:rsid w:val="001F5B35"/>
    <w:rsid w:val="001F5C63"/>
    <w:rsid w:val="001F5FA9"/>
    <w:rsid w:val="001F6035"/>
    <w:rsid w:val="001F60BF"/>
    <w:rsid w:val="001F7230"/>
    <w:rsid w:val="001F7482"/>
    <w:rsid w:val="001F7ED0"/>
    <w:rsid w:val="00200523"/>
    <w:rsid w:val="00200C2B"/>
    <w:rsid w:val="00201887"/>
    <w:rsid w:val="002023F7"/>
    <w:rsid w:val="002036A4"/>
    <w:rsid w:val="00205D35"/>
    <w:rsid w:val="00207BC7"/>
    <w:rsid w:val="00207D76"/>
    <w:rsid w:val="00212A7B"/>
    <w:rsid w:val="00214822"/>
    <w:rsid w:val="00215776"/>
    <w:rsid w:val="002158FC"/>
    <w:rsid w:val="002170BF"/>
    <w:rsid w:val="00217A30"/>
    <w:rsid w:val="00220CD2"/>
    <w:rsid w:val="00221D93"/>
    <w:rsid w:val="00224487"/>
    <w:rsid w:val="002244F2"/>
    <w:rsid w:val="00225F9A"/>
    <w:rsid w:val="002264D1"/>
    <w:rsid w:val="002276E9"/>
    <w:rsid w:val="0023080C"/>
    <w:rsid w:val="00230D7F"/>
    <w:rsid w:val="00231D33"/>
    <w:rsid w:val="00231D8D"/>
    <w:rsid w:val="00234E89"/>
    <w:rsid w:val="00235005"/>
    <w:rsid w:val="002351DF"/>
    <w:rsid w:val="0023578E"/>
    <w:rsid w:val="0023597F"/>
    <w:rsid w:val="002359E2"/>
    <w:rsid w:val="00235B68"/>
    <w:rsid w:val="00237814"/>
    <w:rsid w:val="002402A1"/>
    <w:rsid w:val="002405A1"/>
    <w:rsid w:val="00240BAB"/>
    <w:rsid w:val="00241F59"/>
    <w:rsid w:val="00246E7B"/>
    <w:rsid w:val="00246F24"/>
    <w:rsid w:val="0024766E"/>
    <w:rsid w:val="00247DCC"/>
    <w:rsid w:val="00250111"/>
    <w:rsid w:val="00252DC4"/>
    <w:rsid w:val="00255259"/>
    <w:rsid w:val="00261E18"/>
    <w:rsid w:val="00263EEF"/>
    <w:rsid w:val="00265B77"/>
    <w:rsid w:val="00266DCD"/>
    <w:rsid w:val="0026706B"/>
    <w:rsid w:val="00270EAA"/>
    <w:rsid w:val="00273BC7"/>
    <w:rsid w:val="00273DA1"/>
    <w:rsid w:val="00276512"/>
    <w:rsid w:val="002777DC"/>
    <w:rsid w:val="00281DDD"/>
    <w:rsid w:val="002825A7"/>
    <w:rsid w:val="002855EE"/>
    <w:rsid w:val="00286F93"/>
    <w:rsid w:val="00287310"/>
    <w:rsid w:val="0029048A"/>
    <w:rsid w:val="00290A88"/>
    <w:rsid w:val="00291316"/>
    <w:rsid w:val="00291B45"/>
    <w:rsid w:val="00293052"/>
    <w:rsid w:val="00293FCD"/>
    <w:rsid w:val="002940CE"/>
    <w:rsid w:val="0029415B"/>
    <w:rsid w:val="0029506A"/>
    <w:rsid w:val="00295EBF"/>
    <w:rsid w:val="002A0FDF"/>
    <w:rsid w:val="002A20CC"/>
    <w:rsid w:val="002A443F"/>
    <w:rsid w:val="002A44E9"/>
    <w:rsid w:val="002A45DE"/>
    <w:rsid w:val="002A6315"/>
    <w:rsid w:val="002A7883"/>
    <w:rsid w:val="002B0701"/>
    <w:rsid w:val="002B0EB0"/>
    <w:rsid w:val="002B19EE"/>
    <w:rsid w:val="002B21EE"/>
    <w:rsid w:val="002B447A"/>
    <w:rsid w:val="002B52AC"/>
    <w:rsid w:val="002B5746"/>
    <w:rsid w:val="002B5908"/>
    <w:rsid w:val="002B642A"/>
    <w:rsid w:val="002B67C6"/>
    <w:rsid w:val="002B7111"/>
    <w:rsid w:val="002C1DF0"/>
    <w:rsid w:val="002C222D"/>
    <w:rsid w:val="002C45EA"/>
    <w:rsid w:val="002C60D0"/>
    <w:rsid w:val="002C7A82"/>
    <w:rsid w:val="002C7FBB"/>
    <w:rsid w:val="002D1BBC"/>
    <w:rsid w:val="002D29A1"/>
    <w:rsid w:val="002D4BC5"/>
    <w:rsid w:val="002D561D"/>
    <w:rsid w:val="002D5735"/>
    <w:rsid w:val="002D7D31"/>
    <w:rsid w:val="002E099D"/>
    <w:rsid w:val="002E1E89"/>
    <w:rsid w:val="002E2802"/>
    <w:rsid w:val="002E2C60"/>
    <w:rsid w:val="002E2CF3"/>
    <w:rsid w:val="002E353F"/>
    <w:rsid w:val="002E38E0"/>
    <w:rsid w:val="002E5F12"/>
    <w:rsid w:val="002E6541"/>
    <w:rsid w:val="002E68E5"/>
    <w:rsid w:val="002F19BF"/>
    <w:rsid w:val="002F1BBE"/>
    <w:rsid w:val="002F3741"/>
    <w:rsid w:val="002F3783"/>
    <w:rsid w:val="002F3E29"/>
    <w:rsid w:val="002F44B2"/>
    <w:rsid w:val="002F44C6"/>
    <w:rsid w:val="002F4BE0"/>
    <w:rsid w:val="002F5751"/>
    <w:rsid w:val="002F6B38"/>
    <w:rsid w:val="003007ED"/>
    <w:rsid w:val="003007EF"/>
    <w:rsid w:val="00302004"/>
    <w:rsid w:val="00302E16"/>
    <w:rsid w:val="003036C7"/>
    <w:rsid w:val="00303A72"/>
    <w:rsid w:val="00303AAA"/>
    <w:rsid w:val="003040A7"/>
    <w:rsid w:val="00304485"/>
    <w:rsid w:val="0030502C"/>
    <w:rsid w:val="003053A0"/>
    <w:rsid w:val="0030623D"/>
    <w:rsid w:val="0030635F"/>
    <w:rsid w:val="003068B9"/>
    <w:rsid w:val="003103F1"/>
    <w:rsid w:val="003111F5"/>
    <w:rsid w:val="00320A81"/>
    <w:rsid w:val="00323DDB"/>
    <w:rsid w:val="003242A3"/>
    <w:rsid w:val="003243DF"/>
    <w:rsid w:val="00324661"/>
    <w:rsid w:val="00324D90"/>
    <w:rsid w:val="003251FA"/>
    <w:rsid w:val="00326241"/>
    <w:rsid w:val="00326E73"/>
    <w:rsid w:val="00327182"/>
    <w:rsid w:val="0032747A"/>
    <w:rsid w:val="00333494"/>
    <w:rsid w:val="00333789"/>
    <w:rsid w:val="00333898"/>
    <w:rsid w:val="0033406D"/>
    <w:rsid w:val="00334461"/>
    <w:rsid w:val="00336025"/>
    <w:rsid w:val="00340ED8"/>
    <w:rsid w:val="0034187A"/>
    <w:rsid w:val="003419F4"/>
    <w:rsid w:val="0034438D"/>
    <w:rsid w:val="00344653"/>
    <w:rsid w:val="00344D28"/>
    <w:rsid w:val="00345402"/>
    <w:rsid w:val="00345871"/>
    <w:rsid w:val="003472B6"/>
    <w:rsid w:val="003500ED"/>
    <w:rsid w:val="00350C74"/>
    <w:rsid w:val="00351971"/>
    <w:rsid w:val="00352F9B"/>
    <w:rsid w:val="00354EC6"/>
    <w:rsid w:val="00356721"/>
    <w:rsid w:val="003569EE"/>
    <w:rsid w:val="00357C37"/>
    <w:rsid w:val="00360D39"/>
    <w:rsid w:val="0036251C"/>
    <w:rsid w:val="0036298F"/>
    <w:rsid w:val="00362F5A"/>
    <w:rsid w:val="00363EB9"/>
    <w:rsid w:val="00363ECA"/>
    <w:rsid w:val="00365A2C"/>
    <w:rsid w:val="00370634"/>
    <w:rsid w:val="00373DF1"/>
    <w:rsid w:val="00381717"/>
    <w:rsid w:val="00382AE7"/>
    <w:rsid w:val="00383A94"/>
    <w:rsid w:val="00383C0E"/>
    <w:rsid w:val="0038429F"/>
    <w:rsid w:val="00386838"/>
    <w:rsid w:val="00387800"/>
    <w:rsid w:val="0039043D"/>
    <w:rsid w:val="00390818"/>
    <w:rsid w:val="00391605"/>
    <w:rsid w:val="003921B1"/>
    <w:rsid w:val="00392DA4"/>
    <w:rsid w:val="00393109"/>
    <w:rsid w:val="00394234"/>
    <w:rsid w:val="00395721"/>
    <w:rsid w:val="00397E05"/>
    <w:rsid w:val="003A32A5"/>
    <w:rsid w:val="003A3393"/>
    <w:rsid w:val="003A401E"/>
    <w:rsid w:val="003A660B"/>
    <w:rsid w:val="003A6D32"/>
    <w:rsid w:val="003A7383"/>
    <w:rsid w:val="003A7493"/>
    <w:rsid w:val="003B038D"/>
    <w:rsid w:val="003B3FCA"/>
    <w:rsid w:val="003B41A1"/>
    <w:rsid w:val="003B46EB"/>
    <w:rsid w:val="003B4C72"/>
    <w:rsid w:val="003B5A56"/>
    <w:rsid w:val="003B5EB7"/>
    <w:rsid w:val="003B6B47"/>
    <w:rsid w:val="003B7F15"/>
    <w:rsid w:val="003C0582"/>
    <w:rsid w:val="003C120C"/>
    <w:rsid w:val="003C1A1F"/>
    <w:rsid w:val="003C3D77"/>
    <w:rsid w:val="003C510C"/>
    <w:rsid w:val="003C5583"/>
    <w:rsid w:val="003D1CE7"/>
    <w:rsid w:val="003D4106"/>
    <w:rsid w:val="003D4B63"/>
    <w:rsid w:val="003D56DC"/>
    <w:rsid w:val="003D6427"/>
    <w:rsid w:val="003D6755"/>
    <w:rsid w:val="003D6B57"/>
    <w:rsid w:val="003D77A8"/>
    <w:rsid w:val="003E1443"/>
    <w:rsid w:val="003E3F62"/>
    <w:rsid w:val="003E5287"/>
    <w:rsid w:val="003E55B1"/>
    <w:rsid w:val="003E572B"/>
    <w:rsid w:val="003E7523"/>
    <w:rsid w:val="003E777A"/>
    <w:rsid w:val="003F0E20"/>
    <w:rsid w:val="003F1A0E"/>
    <w:rsid w:val="003F27F5"/>
    <w:rsid w:val="003F3ECB"/>
    <w:rsid w:val="003F3F5A"/>
    <w:rsid w:val="003F5027"/>
    <w:rsid w:val="003F5041"/>
    <w:rsid w:val="003F54D6"/>
    <w:rsid w:val="003F5FC7"/>
    <w:rsid w:val="003F6A24"/>
    <w:rsid w:val="003F7443"/>
    <w:rsid w:val="003F7B1B"/>
    <w:rsid w:val="004025FA"/>
    <w:rsid w:val="004034F5"/>
    <w:rsid w:val="00403BCB"/>
    <w:rsid w:val="004048BF"/>
    <w:rsid w:val="00407668"/>
    <w:rsid w:val="00410222"/>
    <w:rsid w:val="004107E2"/>
    <w:rsid w:val="00410D5C"/>
    <w:rsid w:val="0041114D"/>
    <w:rsid w:val="0041170F"/>
    <w:rsid w:val="0041195E"/>
    <w:rsid w:val="0041370B"/>
    <w:rsid w:val="0041458B"/>
    <w:rsid w:val="00416569"/>
    <w:rsid w:val="00416E5B"/>
    <w:rsid w:val="004205C8"/>
    <w:rsid w:val="00421E1A"/>
    <w:rsid w:val="00422E20"/>
    <w:rsid w:val="00423435"/>
    <w:rsid w:val="00423FE2"/>
    <w:rsid w:val="00424C32"/>
    <w:rsid w:val="00427FCA"/>
    <w:rsid w:val="004324DF"/>
    <w:rsid w:val="00433D57"/>
    <w:rsid w:val="00441122"/>
    <w:rsid w:val="004419A8"/>
    <w:rsid w:val="00441B45"/>
    <w:rsid w:val="0044212F"/>
    <w:rsid w:val="0044276A"/>
    <w:rsid w:val="0044568B"/>
    <w:rsid w:val="00450B72"/>
    <w:rsid w:val="004526E7"/>
    <w:rsid w:val="00457CD4"/>
    <w:rsid w:val="004615B4"/>
    <w:rsid w:val="004619F6"/>
    <w:rsid w:val="0046276D"/>
    <w:rsid w:val="004627E1"/>
    <w:rsid w:val="0046280C"/>
    <w:rsid w:val="0046321B"/>
    <w:rsid w:val="004654C2"/>
    <w:rsid w:val="004659A4"/>
    <w:rsid w:val="00465C74"/>
    <w:rsid w:val="00466FCD"/>
    <w:rsid w:val="00467CD2"/>
    <w:rsid w:val="00470635"/>
    <w:rsid w:val="00470C73"/>
    <w:rsid w:val="00470D98"/>
    <w:rsid w:val="004710FD"/>
    <w:rsid w:val="00471809"/>
    <w:rsid w:val="00471DF3"/>
    <w:rsid w:val="0047253C"/>
    <w:rsid w:val="00473981"/>
    <w:rsid w:val="00473E2C"/>
    <w:rsid w:val="00475AC7"/>
    <w:rsid w:val="00480A01"/>
    <w:rsid w:val="00482C53"/>
    <w:rsid w:val="0048383B"/>
    <w:rsid w:val="00483B68"/>
    <w:rsid w:val="00483FA2"/>
    <w:rsid w:val="0048516C"/>
    <w:rsid w:val="00485C37"/>
    <w:rsid w:val="00487748"/>
    <w:rsid w:val="004903B8"/>
    <w:rsid w:val="004904C7"/>
    <w:rsid w:val="0049063C"/>
    <w:rsid w:val="00490B09"/>
    <w:rsid w:val="00490F03"/>
    <w:rsid w:val="004924BD"/>
    <w:rsid w:val="0049282D"/>
    <w:rsid w:val="00493456"/>
    <w:rsid w:val="004940B6"/>
    <w:rsid w:val="004942AC"/>
    <w:rsid w:val="004953F6"/>
    <w:rsid w:val="00497218"/>
    <w:rsid w:val="0049763A"/>
    <w:rsid w:val="00497B66"/>
    <w:rsid w:val="004A0FCB"/>
    <w:rsid w:val="004A12DA"/>
    <w:rsid w:val="004A1789"/>
    <w:rsid w:val="004A35C7"/>
    <w:rsid w:val="004A3681"/>
    <w:rsid w:val="004A4A62"/>
    <w:rsid w:val="004A5BDA"/>
    <w:rsid w:val="004A6F05"/>
    <w:rsid w:val="004B05C3"/>
    <w:rsid w:val="004B2E64"/>
    <w:rsid w:val="004B3115"/>
    <w:rsid w:val="004B31C9"/>
    <w:rsid w:val="004B3A5B"/>
    <w:rsid w:val="004B3C10"/>
    <w:rsid w:val="004B4345"/>
    <w:rsid w:val="004B4942"/>
    <w:rsid w:val="004B5525"/>
    <w:rsid w:val="004B6867"/>
    <w:rsid w:val="004B68B9"/>
    <w:rsid w:val="004B71CF"/>
    <w:rsid w:val="004B788B"/>
    <w:rsid w:val="004B7B62"/>
    <w:rsid w:val="004C10D5"/>
    <w:rsid w:val="004C1AB2"/>
    <w:rsid w:val="004C3B1E"/>
    <w:rsid w:val="004C3C84"/>
    <w:rsid w:val="004C69A1"/>
    <w:rsid w:val="004D0A34"/>
    <w:rsid w:val="004D172C"/>
    <w:rsid w:val="004D2003"/>
    <w:rsid w:val="004D2787"/>
    <w:rsid w:val="004D34FA"/>
    <w:rsid w:val="004D3D83"/>
    <w:rsid w:val="004D5A96"/>
    <w:rsid w:val="004D69A2"/>
    <w:rsid w:val="004D7A5E"/>
    <w:rsid w:val="004E12CE"/>
    <w:rsid w:val="004E1B6A"/>
    <w:rsid w:val="004E2029"/>
    <w:rsid w:val="004E2FFE"/>
    <w:rsid w:val="004E5B1A"/>
    <w:rsid w:val="004E7145"/>
    <w:rsid w:val="004F00FC"/>
    <w:rsid w:val="004F0365"/>
    <w:rsid w:val="004F047D"/>
    <w:rsid w:val="004F075F"/>
    <w:rsid w:val="004F1666"/>
    <w:rsid w:val="004F1815"/>
    <w:rsid w:val="004F27AD"/>
    <w:rsid w:val="004F2AC7"/>
    <w:rsid w:val="004F38CE"/>
    <w:rsid w:val="004F459C"/>
    <w:rsid w:val="004F7AC3"/>
    <w:rsid w:val="004F7F4A"/>
    <w:rsid w:val="00501AAB"/>
    <w:rsid w:val="00503236"/>
    <w:rsid w:val="0050428D"/>
    <w:rsid w:val="00505107"/>
    <w:rsid w:val="005058B1"/>
    <w:rsid w:val="00506DBB"/>
    <w:rsid w:val="005075CF"/>
    <w:rsid w:val="005076CF"/>
    <w:rsid w:val="005076E9"/>
    <w:rsid w:val="00510758"/>
    <w:rsid w:val="005146C6"/>
    <w:rsid w:val="00514C88"/>
    <w:rsid w:val="00515328"/>
    <w:rsid w:val="00515D28"/>
    <w:rsid w:val="00516CF7"/>
    <w:rsid w:val="005173A8"/>
    <w:rsid w:val="005206E6"/>
    <w:rsid w:val="005209D5"/>
    <w:rsid w:val="005215E1"/>
    <w:rsid w:val="005233D6"/>
    <w:rsid w:val="00523825"/>
    <w:rsid w:val="00524523"/>
    <w:rsid w:val="0052491F"/>
    <w:rsid w:val="00525A9C"/>
    <w:rsid w:val="00525F19"/>
    <w:rsid w:val="0052714E"/>
    <w:rsid w:val="00531B5D"/>
    <w:rsid w:val="00532E5E"/>
    <w:rsid w:val="00533C72"/>
    <w:rsid w:val="0053477D"/>
    <w:rsid w:val="00534D38"/>
    <w:rsid w:val="00535B57"/>
    <w:rsid w:val="005362F0"/>
    <w:rsid w:val="00536416"/>
    <w:rsid w:val="00537824"/>
    <w:rsid w:val="00540873"/>
    <w:rsid w:val="00541ED0"/>
    <w:rsid w:val="005425E2"/>
    <w:rsid w:val="005462E2"/>
    <w:rsid w:val="0054654D"/>
    <w:rsid w:val="00547B09"/>
    <w:rsid w:val="00547C8D"/>
    <w:rsid w:val="00550E4B"/>
    <w:rsid w:val="00551B32"/>
    <w:rsid w:val="00551B4E"/>
    <w:rsid w:val="00552946"/>
    <w:rsid w:val="00554382"/>
    <w:rsid w:val="005543CA"/>
    <w:rsid w:val="00554670"/>
    <w:rsid w:val="0055529A"/>
    <w:rsid w:val="00555559"/>
    <w:rsid w:val="00556F38"/>
    <w:rsid w:val="005576EE"/>
    <w:rsid w:val="00557B3C"/>
    <w:rsid w:val="00557CA6"/>
    <w:rsid w:val="005611EF"/>
    <w:rsid w:val="0056129D"/>
    <w:rsid w:val="00561421"/>
    <w:rsid w:val="00562F56"/>
    <w:rsid w:val="0056345E"/>
    <w:rsid w:val="005644CA"/>
    <w:rsid w:val="005648F9"/>
    <w:rsid w:val="00564D50"/>
    <w:rsid w:val="00565B4C"/>
    <w:rsid w:val="00566565"/>
    <w:rsid w:val="00566A1F"/>
    <w:rsid w:val="00567652"/>
    <w:rsid w:val="00567DBF"/>
    <w:rsid w:val="00572597"/>
    <w:rsid w:val="0057285F"/>
    <w:rsid w:val="00576833"/>
    <w:rsid w:val="00576A77"/>
    <w:rsid w:val="0057729D"/>
    <w:rsid w:val="0057743F"/>
    <w:rsid w:val="00577AAD"/>
    <w:rsid w:val="00577F28"/>
    <w:rsid w:val="00581B55"/>
    <w:rsid w:val="0058269F"/>
    <w:rsid w:val="00582FFF"/>
    <w:rsid w:val="00583632"/>
    <w:rsid w:val="00583898"/>
    <w:rsid w:val="00584CEE"/>
    <w:rsid w:val="00586C55"/>
    <w:rsid w:val="0059186D"/>
    <w:rsid w:val="00595E0F"/>
    <w:rsid w:val="005973FF"/>
    <w:rsid w:val="00597F26"/>
    <w:rsid w:val="005A06A5"/>
    <w:rsid w:val="005A06F6"/>
    <w:rsid w:val="005A0B0F"/>
    <w:rsid w:val="005A43F0"/>
    <w:rsid w:val="005A7A5E"/>
    <w:rsid w:val="005A7DDA"/>
    <w:rsid w:val="005B0097"/>
    <w:rsid w:val="005B0DB1"/>
    <w:rsid w:val="005B5A8F"/>
    <w:rsid w:val="005C0BFC"/>
    <w:rsid w:val="005C12BA"/>
    <w:rsid w:val="005C22CE"/>
    <w:rsid w:val="005C4754"/>
    <w:rsid w:val="005C47FD"/>
    <w:rsid w:val="005C50AD"/>
    <w:rsid w:val="005C58EA"/>
    <w:rsid w:val="005C6A64"/>
    <w:rsid w:val="005C6F85"/>
    <w:rsid w:val="005C7444"/>
    <w:rsid w:val="005D0294"/>
    <w:rsid w:val="005D0619"/>
    <w:rsid w:val="005D0C5E"/>
    <w:rsid w:val="005D3065"/>
    <w:rsid w:val="005D36EE"/>
    <w:rsid w:val="005D375D"/>
    <w:rsid w:val="005D3CC8"/>
    <w:rsid w:val="005D3E84"/>
    <w:rsid w:val="005D4A3C"/>
    <w:rsid w:val="005D58BE"/>
    <w:rsid w:val="005D642B"/>
    <w:rsid w:val="005D6C45"/>
    <w:rsid w:val="005D7FB1"/>
    <w:rsid w:val="005E06B6"/>
    <w:rsid w:val="005E48DE"/>
    <w:rsid w:val="005E5C5B"/>
    <w:rsid w:val="005E6777"/>
    <w:rsid w:val="005E6977"/>
    <w:rsid w:val="005E70F2"/>
    <w:rsid w:val="005E7199"/>
    <w:rsid w:val="005F0841"/>
    <w:rsid w:val="005F19C3"/>
    <w:rsid w:val="005F1D98"/>
    <w:rsid w:val="005F2775"/>
    <w:rsid w:val="005F2BDE"/>
    <w:rsid w:val="005F494F"/>
    <w:rsid w:val="005F4FB8"/>
    <w:rsid w:val="005F6AE2"/>
    <w:rsid w:val="005F7533"/>
    <w:rsid w:val="00600898"/>
    <w:rsid w:val="00601455"/>
    <w:rsid w:val="00601B94"/>
    <w:rsid w:val="00601E36"/>
    <w:rsid w:val="00602673"/>
    <w:rsid w:val="006031C8"/>
    <w:rsid w:val="0060353F"/>
    <w:rsid w:val="00603ADE"/>
    <w:rsid w:val="00603FED"/>
    <w:rsid w:val="00604184"/>
    <w:rsid w:val="00604EF6"/>
    <w:rsid w:val="0060537F"/>
    <w:rsid w:val="00606E67"/>
    <w:rsid w:val="00610CC3"/>
    <w:rsid w:val="00610F50"/>
    <w:rsid w:val="006118B8"/>
    <w:rsid w:val="006123B8"/>
    <w:rsid w:val="0061246C"/>
    <w:rsid w:val="00612485"/>
    <w:rsid w:val="00612D4E"/>
    <w:rsid w:val="0061373F"/>
    <w:rsid w:val="006147F7"/>
    <w:rsid w:val="00614B8A"/>
    <w:rsid w:val="00617A82"/>
    <w:rsid w:val="006223E2"/>
    <w:rsid w:val="006233B6"/>
    <w:rsid w:val="0062614C"/>
    <w:rsid w:val="0062648A"/>
    <w:rsid w:val="00627A03"/>
    <w:rsid w:val="00627B26"/>
    <w:rsid w:val="00627E2A"/>
    <w:rsid w:val="006302E5"/>
    <w:rsid w:val="00630D55"/>
    <w:rsid w:val="00634874"/>
    <w:rsid w:val="00634B8F"/>
    <w:rsid w:val="00634E99"/>
    <w:rsid w:val="00636912"/>
    <w:rsid w:val="00637DD4"/>
    <w:rsid w:val="0064041A"/>
    <w:rsid w:val="006413CA"/>
    <w:rsid w:val="006422D5"/>
    <w:rsid w:val="006455BD"/>
    <w:rsid w:val="006456D4"/>
    <w:rsid w:val="006457CB"/>
    <w:rsid w:val="00645B2E"/>
    <w:rsid w:val="00646CF2"/>
    <w:rsid w:val="006504FC"/>
    <w:rsid w:val="006515EA"/>
    <w:rsid w:val="006549B7"/>
    <w:rsid w:val="00654BF5"/>
    <w:rsid w:val="00657A8C"/>
    <w:rsid w:val="00660293"/>
    <w:rsid w:val="00661242"/>
    <w:rsid w:val="006613C5"/>
    <w:rsid w:val="0066168F"/>
    <w:rsid w:val="00661819"/>
    <w:rsid w:val="00662728"/>
    <w:rsid w:val="006628A5"/>
    <w:rsid w:val="00662E20"/>
    <w:rsid w:val="00662E69"/>
    <w:rsid w:val="00663EF7"/>
    <w:rsid w:val="00664014"/>
    <w:rsid w:val="00665040"/>
    <w:rsid w:val="00665355"/>
    <w:rsid w:val="00667F78"/>
    <w:rsid w:val="00672B13"/>
    <w:rsid w:val="00672D74"/>
    <w:rsid w:val="00672E0A"/>
    <w:rsid w:val="00673E8C"/>
    <w:rsid w:val="00674615"/>
    <w:rsid w:val="006747AB"/>
    <w:rsid w:val="00676F27"/>
    <w:rsid w:val="00677F38"/>
    <w:rsid w:val="00680C0A"/>
    <w:rsid w:val="0068131B"/>
    <w:rsid w:val="00681795"/>
    <w:rsid w:val="00681D20"/>
    <w:rsid w:val="00682FC0"/>
    <w:rsid w:val="0068454D"/>
    <w:rsid w:val="00685438"/>
    <w:rsid w:val="00685477"/>
    <w:rsid w:val="006855F9"/>
    <w:rsid w:val="00685A34"/>
    <w:rsid w:val="00685BBB"/>
    <w:rsid w:val="00687256"/>
    <w:rsid w:val="0068745D"/>
    <w:rsid w:val="00691B82"/>
    <w:rsid w:val="00693513"/>
    <w:rsid w:val="00693C16"/>
    <w:rsid w:val="0069452E"/>
    <w:rsid w:val="0069543B"/>
    <w:rsid w:val="0069571C"/>
    <w:rsid w:val="00695F20"/>
    <w:rsid w:val="00695FDD"/>
    <w:rsid w:val="006A2605"/>
    <w:rsid w:val="006A36F8"/>
    <w:rsid w:val="006A632D"/>
    <w:rsid w:val="006A6E2C"/>
    <w:rsid w:val="006B1BB0"/>
    <w:rsid w:val="006B1CD3"/>
    <w:rsid w:val="006B3051"/>
    <w:rsid w:val="006B3B0E"/>
    <w:rsid w:val="006B72B4"/>
    <w:rsid w:val="006B78F3"/>
    <w:rsid w:val="006C0829"/>
    <w:rsid w:val="006C2D90"/>
    <w:rsid w:val="006C495A"/>
    <w:rsid w:val="006C4D1D"/>
    <w:rsid w:val="006C5647"/>
    <w:rsid w:val="006C6741"/>
    <w:rsid w:val="006C6F88"/>
    <w:rsid w:val="006D1A03"/>
    <w:rsid w:val="006D3860"/>
    <w:rsid w:val="006D453F"/>
    <w:rsid w:val="006E11EB"/>
    <w:rsid w:val="006E1994"/>
    <w:rsid w:val="006E1C86"/>
    <w:rsid w:val="006E251B"/>
    <w:rsid w:val="006E4818"/>
    <w:rsid w:val="006E4899"/>
    <w:rsid w:val="006E6DD3"/>
    <w:rsid w:val="006E7E12"/>
    <w:rsid w:val="006F023A"/>
    <w:rsid w:val="006F11C5"/>
    <w:rsid w:val="006F27BD"/>
    <w:rsid w:val="006F5EED"/>
    <w:rsid w:val="006F66E7"/>
    <w:rsid w:val="006F79CD"/>
    <w:rsid w:val="007022EE"/>
    <w:rsid w:val="00702B10"/>
    <w:rsid w:val="007049D0"/>
    <w:rsid w:val="00707373"/>
    <w:rsid w:val="0070748A"/>
    <w:rsid w:val="007078AC"/>
    <w:rsid w:val="007118B3"/>
    <w:rsid w:val="00711A17"/>
    <w:rsid w:val="00712403"/>
    <w:rsid w:val="00712B1C"/>
    <w:rsid w:val="00713F8F"/>
    <w:rsid w:val="00716816"/>
    <w:rsid w:val="007206E5"/>
    <w:rsid w:val="007210F5"/>
    <w:rsid w:val="00721682"/>
    <w:rsid w:val="0072332E"/>
    <w:rsid w:val="00724287"/>
    <w:rsid w:val="00724685"/>
    <w:rsid w:val="0072491B"/>
    <w:rsid w:val="00724D93"/>
    <w:rsid w:val="0072591E"/>
    <w:rsid w:val="00725CD1"/>
    <w:rsid w:val="0072623B"/>
    <w:rsid w:val="007317A3"/>
    <w:rsid w:val="00731B57"/>
    <w:rsid w:val="00731EBB"/>
    <w:rsid w:val="007326B2"/>
    <w:rsid w:val="00732B5D"/>
    <w:rsid w:val="00734301"/>
    <w:rsid w:val="00734604"/>
    <w:rsid w:val="007364EC"/>
    <w:rsid w:val="00737E29"/>
    <w:rsid w:val="00740137"/>
    <w:rsid w:val="0074353F"/>
    <w:rsid w:val="00743B1B"/>
    <w:rsid w:val="007443AC"/>
    <w:rsid w:val="00744B5E"/>
    <w:rsid w:val="00746519"/>
    <w:rsid w:val="00746DA6"/>
    <w:rsid w:val="00750296"/>
    <w:rsid w:val="00751197"/>
    <w:rsid w:val="00751E98"/>
    <w:rsid w:val="00752D62"/>
    <w:rsid w:val="00754DB4"/>
    <w:rsid w:val="00756685"/>
    <w:rsid w:val="0075713C"/>
    <w:rsid w:val="007610C3"/>
    <w:rsid w:val="00761616"/>
    <w:rsid w:val="0076194A"/>
    <w:rsid w:val="00761FCE"/>
    <w:rsid w:val="00762FEB"/>
    <w:rsid w:val="00763052"/>
    <w:rsid w:val="00763517"/>
    <w:rsid w:val="0076356A"/>
    <w:rsid w:val="007649ED"/>
    <w:rsid w:val="00765ACF"/>
    <w:rsid w:val="00766922"/>
    <w:rsid w:val="0076701C"/>
    <w:rsid w:val="00770738"/>
    <w:rsid w:val="00773D6A"/>
    <w:rsid w:val="00774BB5"/>
    <w:rsid w:val="00774D21"/>
    <w:rsid w:val="00775E81"/>
    <w:rsid w:val="00782D08"/>
    <w:rsid w:val="00783819"/>
    <w:rsid w:val="00783CB1"/>
    <w:rsid w:val="007850C4"/>
    <w:rsid w:val="007850D2"/>
    <w:rsid w:val="007853B0"/>
    <w:rsid w:val="00786CD5"/>
    <w:rsid w:val="00787805"/>
    <w:rsid w:val="00790CEE"/>
    <w:rsid w:val="0079160D"/>
    <w:rsid w:val="00791746"/>
    <w:rsid w:val="00791AE5"/>
    <w:rsid w:val="0079247E"/>
    <w:rsid w:val="00794614"/>
    <w:rsid w:val="0079788D"/>
    <w:rsid w:val="00797C56"/>
    <w:rsid w:val="007A0837"/>
    <w:rsid w:val="007A1284"/>
    <w:rsid w:val="007A1A4E"/>
    <w:rsid w:val="007A2F57"/>
    <w:rsid w:val="007A33FF"/>
    <w:rsid w:val="007A3C02"/>
    <w:rsid w:val="007A4033"/>
    <w:rsid w:val="007A5046"/>
    <w:rsid w:val="007A5CDF"/>
    <w:rsid w:val="007A61EE"/>
    <w:rsid w:val="007A7A26"/>
    <w:rsid w:val="007B15A9"/>
    <w:rsid w:val="007B1D71"/>
    <w:rsid w:val="007B22B8"/>
    <w:rsid w:val="007B2758"/>
    <w:rsid w:val="007B6C52"/>
    <w:rsid w:val="007B765E"/>
    <w:rsid w:val="007B78A2"/>
    <w:rsid w:val="007B7AB6"/>
    <w:rsid w:val="007C27FC"/>
    <w:rsid w:val="007C3383"/>
    <w:rsid w:val="007C42DE"/>
    <w:rsid w:val="007C45BF"/>
    <w:rsid w:val="007C4A48"/>
    <w:rsid w:val="007C5A1C"/>
    <w:rsid w:val="007C71C9"/>
    <w:rsid w:val="007D0001"/>
    <w:rsid w:val="007D5412"/>
    <w:rsid w:val="007D5481"/>
    <w:rsid w:val="007D5509"/>
    <w:rsid w:val="007D58B0"/>
    <w:rsid w:val="007D5A43"/>
    <w:rsid w:val="007D7479"/>
    <w:rsid w:val="007E02B2"/>
    <w:rsid w:val="007E0C4A"/>
    <w:rsid w:val="007E1C7A"/>
    <w:rsid w:val="007E39E0"/>
    <w:rsid w:val="007E3EAE"/>
    <w:rsid w:val="007E41BF"/>
    <w:rsid w:val="007E4B6E"/>
    <w:rsid w:val="007E4C1F"/>
    <w:rsid w:val="007E4CF8"/>
    <w:rsid w:val="007E566E"/>
    <w:rsid w:val="007E798D"/>
    <w:rsid w:val="007F1557"/>
    <w:rsid w:val="007F1B7A"/>
    <w:rsid w:val="007F2332"/>
    <w:rsid w:val="007F41E1"/>
    <w:rsid w:val="007F433F"/>
    <w:rsid w:val="007F726D"/>
    <w:rsid w:val="007F75E6"/>
    <w:rsid w:val="008012BF"/>
    <w:rsid w:val="00801408"/>
    <w:rsid w:val="0080298D"/>
    <w:rsid w:val="00804D75"/>
    <w:rsid w:val="00804F44"/>
    <w:rsid w:val="0080510B"/>
    <w:rsid w:val="00805798"/>
    <w:rsid w:val="00805E26"/>
    <w:rsid w:val="00806D50"/>
    <w:rsid w:val="0080778E"/>
    <w:rsid w:val="008077C4"/>
    <w:rsid w:val="00807C8A"/>
    <w:rsid w:val="00810564"/>
    <w:rsid w:val="00812B37"/>
    <w:rsid w:val="00812C84"/>
    <w:rsid w:val="00812D04"/>
    <w:rsid w:val="00812EF6"/>
    <w:rsid w:val="00814CBA"/>
    <w:rsid w:val="0081716A"/>
    <w:rsid w:val="00817E17"/>
    <w:rsid w:val="00820871"/>
    <w:rsid w:val="00820F41"/>
    <w:rsid w:val="00821E48"/>
    <w:rsid w:val="0082269E"/>
    <w:rsid w:val="00822ADA"/>
    <w:rsid w:val="00824878"/>
    <w:rsid w:val="00830E91"/>
    <w:rsid w:val="00831997"/>
    <w:rsid w:val="008322F0"/>
    <w:rsid w:val="00833119"/>
    <w:rsid w:val="00833C44"/>
    <w:rsid w:val="00833FF4"/>
    <w:rsid w:val="008344BB"/>
    <w:rsid w:val="00834AAC"/>
    <w:rsid w:val="00834F5E"/>
    <w:rsid w:val="00835546"/>
    <w:rsid w:val="00836643"/>
    <w:rsid w:val="008368C0"/>
    <w:rsid w:val="00837937"/>
    <w:rsid w:val="00842BD3"/>
    <w:rsid w:val="00844B28"/>
    <w:rsid w:val="00844B9D"/>
    <w:rsid w:val="00850477"/>
    <w:rsid w:val="008504B2"/>
    <w:rsid w:val="008504DD"/>
    <w:rsid w:val="00850A14"/>
    <w:rsid w:val="00851B96"/>
    <w:rsid w:val="00852422"/>
    <w:rsid w:val="008528BA"/>
    <w:rsid w:val="00852A5C"/>
    <w:rsid w:val="00852B33"/>
    <w:rsid w:val="00853156"/>
    <w:rsid w:val="00853631"/>
    <w:rsid w:val="00854556"/>
    <w:rsid w:val="008548B8"/>
    <w:rsid w:val="00856030"/>
    <w:rsid w:val="00856733"/>
    <w:rsid w:val="0085690F"/>
    <w:rsid w:val="00856975"/>
    <w:rsid w:val="00856A4C"/>
    <w:rsid w:val="00857741"/>
    <w:rsid w:val="00860E1F"/>
    <w:rsid w:val="00861B04"/>
    <w:rsid w:val="0086289C"/>
    <w:rsid w:val="00862DBF"/>
    <w:rsid w:val="00863886"/>
    <w:rsid w:val="008638CC"/>
    <w:rsid w:val="008639DD"/>
    <w:rsid w:val="00863D26"/>
    <w:rsid w:val="0086489B"/>
    <w:rsid w:val="00865312"/>
    <w:rsid w:val="00866524"/>
    <w:rsid w:val="0086668E"/>
    <w:rsid w:val="008668E9"/>
    <w:rsid w:val="00866F24"/>
    <w:rsid w:val="008678EC"/>
    <w:rsid w:val="00870DDD"/>
    <w:rsid w:val="008713E2"/>
    <w:rsid w:val="008716E6"/>
    <w:rsid w:val="00872F1F"/>
    <w:rsid w:val="00873513"/>
    <w:rsid w:val="00875709"/>
    <w:rsid w:val="008763CA"/>
    <w:rsid w:val="00877535"/>
    <w:rsid w:val="00877A8D"/>
    <w:rsid w:val="00881264"/>
    <w:rsid w:val="00882245"/>
    <w:rsid w:val="00884567"/>
    <w:rsid w:val="008856FC"/>
    <w:rsid w:val="008900FC"/>
    <w:rsid w:val="008919C9"/>
    <w:rsid w:val="00891C9D"/>
    <w:rsid w:val="00893F79"/>
    <w:rsid w:val="008961F7"/>
    <w:rsid w:val="008963AD"/>
    <w:rsid w:val="00897218"/>
    <w:rsid w:val="00897286"/>
    <w:rsid w:val="008A0F3A"/>
    <w:rsid w:val="008A2467"/>
    <w:rsid w:val="008A2782"/>
    <w:rsid w:val="008A3016"/>
    <w:rsid w:val="008A4EBE"/>
    <w:rsid w:val="008A5C5B"/>
    <w:rsid w:val="008A7A69"/>
    <w:rsid w:val="008A7C82"/>
    <w:rsid w:val="008A7D84"/>
    <w:rsid w:val="008B13A8"/>
    <w:rsid w:val="008B2271"/>
    <w:rsid w:val="008B23DC"/>
    <w:rsid w:val="008B2DF5"/>
    <w:rsid w:val="008B2F39"/>
    <w:rsid w:val="008B6D29"/>
    <w:rsid w:val="008B7478"/>
    <w:rsid w:val="008B7CC1"/>
    <w:rsid w:val="008C0602"/>
    <w:rsid w:val="008C3D4C"/>
    <w:rsid w:val="008C41D0"/>
    <w:rsid w:val="008C48E9"/>
    <w:rsid w:val="008C52F7"/>
    <w:rsid w:val="008C5663"/>
    <w:rsid w:val="008C67F9"/>
    <w:rsid w:val="008D0A45"/>
    <w:rsid w:val="008D0B59"/>
    <w:rsid w:val="008D1D01"/>
    <w:rsid w:val="008D1FF1"/>
    <w:rsid w:val="008D23B5"/>
    <w:rsid w:val="008D36C3"/>
    <w:rsid w:val="008D3932"/>
    <w:rsid w:val="008D4AD4"/>
    <w:rsid w:val="008D5C27"/>
    <w:rsid w:val="008D78AF"/>
    <w:rsid w:val="008E0FEF"/>
    <w:rsid w:val="008E1888"/>
    <w:rsid w:val="008E22A8"/>
    <w:rsid w:val="008E3540"/>
    <w:rsid w:val="008E57B5"/>
    <w:rsid w:val="008E5D1B"/>
    <w:rsid w:val="008E6118"/>
    <w:rsid w:val="008F0527"/>
    <w:rsid w:val="008F1798"/>
    <w:rsid w:val="008F24ED"/>
    <w:rsid w:val="008F2765"/>
    <w:rsid w:val="008F3CE2"/>
    <w:rsid w:val="008F48D3"/>
    <w:rsid w:val="008F65DB"/>
    <w:rsid w:val="008F6A76"/>
    <w:rsid w:val="00900096"/>
    <w:rsid w:val="00903156"/>
    <w:rsid w:val="00903393"/>
    <w:rsid w:val="009043CF"/>
    <w:rsid w:val="00904673"/>
    <w:rsid w:val="0090642A"/>
    <w:rsid w:val="00910DCE"/>
    <w:rsid w:val="009121F4"/>
    <w:rsid w:val="0091276F"/>
    <w:rsid w:val="00912B7D"/>
    <w:rsid w:val="00913575"/>
    <w:rsid w:val="00914281"/>
    <w:rsid w:val="009153E0"/>
    <w:rsid w:val="00916F39"/>
    <w:rsid w:val="00920117"/>
    <w:rsid w:val="00920DFA"/>
    <w:rsid w:val="00922730"/>
    <w:rsid w:val="00925737"/>
    <w:rsid w:val="009258EC"/>
    <w:rsid w:val="0092752B"/>
    <w:rsid w:val="00931F7C"/>
    <w:rsid w:val="00932D51"/>
    <w:rsid w:val="009332CF"/>
    <w:rsid w:val="009338A9"/>
    <w:rsid w:val="009345D3"/>
    <w:rsid w:val="00936287"/>
    <w:rsid w:val="00936F0F"/>
    <w:rsid w:val="00936F3E"/>
    <w:rsid w:val="0094140E"/>
    <w:rsid w:val="009421ED"/>
    <w:rsid w:val="00944AC5"/>
    <w:rsid w:val="009459DC"/>
    <w:rsid w:val="00945D2D"/>
    <w:rsid w:val="009478BB"/>
    <w:rsid w:val="00951A0C"/>
    <w:rsid w:val="00951E56"/>
    <w:rsid w:val="009522E3"/>
    <w:rsid w:val="00952E8B"/>
    <w:rsid w:val="00953DBF"/>
    <w:rsid w:val="00954B9D"/>
    <w:rsid w:val="00955508"/>
    <w:rsid w:val="00955F90"/>
    <w:rsid w:val="00956561"/>
    <w:rsid w:val="00956CC2"/>
    <w:rsid w:val="00962633"/>
    <w:rsid w:val="0096289E"/>
    <w:rsid w:val="00962A40"/>
    <w:rsid w:val="00962FCB"/>
    <w:rsid w:val="009667FB"/>
    <w:rsid w:val="0097009C"/>
    <w:rsid w:val="009712D4"/>
    <w:rsid w:val="00972D6B"/>
    <w:rsid w:val="00973973"/>
    <w:rsid w:val="00974113"/>
    <w:rsid w:val="009741A9"/>
    <w:rsid w:val="0097471D"/>
    <w:rsid w:val="00976BB6"/>
    <w:rsid w:val="00977CD6"/>
    <w:rsid w:val="00977CE1"/>
    <w:rsid w:val="00984DDA"/>
    <w:rsid w:val="00985DD4"/>
    <w:rsid w:val="0098627C"/>
    <w:rsid w:val="009868E8"/>
    <w:rsid w:val="00986CE4"/>
    <w:rsid w:val="0098732E"/>
    <w:rsid w:val="00987392"/>
    <w:rsid w:val="00991BED"/>
    <w:rsid w:val="00992E46"/>
    <w:rsid w:val="00994847"/>
    <w:rsid w:val="00994E03"/>
    <w:rsid w:val="00995007"/>
    <w:rsid w:val="009953F4"/>
    <w:rsid w:val="00996AEB"/>
    <w:rsid w:val="009A1418"/>
    <w:rsid w:val="009A1ED7"/>
    <w:rsid w:val="009A218B"/>
    <w:rsid w:val="009A22CF"/>
    <w:rsid w:val="009A38E4"/>
    <w:rsid w:val="009A463C"/>
    <w:rsid w:val="009A56D9"/>
    <w:rsid w:val="009A576D"/>
    <w:rsid w:val="009A69EC"/>
    <w:rsid w:val="009B0038"/>
    <w:rsid w:val="009B20BB"/>
    <w:rsid w:val="009B3A3C"/>
    <w:rsid w:val="009B5B52"/>
    <w:rsid w:val="009B6F51"/>
    <w:rsid w:val="009C1349"/>
    <w:rsid w:val="009C14A9"/>
    <w:rsid w:val="009C2EE7"/>
    <w:rsid w:val="009C3104"/>
    <w:rsid w:val="009C3236"/>
    <w:rsid w:val="009C3416"/>
    <w:rsid w:val="009C3ABF"/>
    <w:rsid w:val="009C57AD"/>
    <w:rsid w:val="009C6177"/>
    <w:rsid w:val="009C78E8"/>
    <w:rsid w:val="009D0AA9"/>
    <w:rsid w:val="009D15DD"/>
    <w:rsid w:val="009D2BF3"/>
    <w:rsid w:val="009D3D4C"/>
    <w:rsid w:val="009D45F8"/>
    <w:rsid w:val="009D4A26"/>
    <w:rsid w:val="009D5BE2"/>
    <w:rsid w:val="009D6095"/>
    <w:rsid w:val="009D726A"/>
    <w:rsid w:val="009E015C"/>
    <w:rsid w:val="009E1EAB"/>
    <w:rsid w:val="009E21F1"/>
    <w:rsid w:val="009E2DAB"/>
    <w:rsid w:val="009E30A2"/>
    <w:rsid w:val="009E33FB"/>
    <w:rsid w:val="009E3BC8"/>
    <w:rsid w:val="009E4D79"/>
    <w:rsid w:val="009E6369"/>
    <w:rsid w:val="009E66AB"/>
    <w:rsid w:val="009F03B9"/>
    <w:rsid w:val="009F1E0F"/>
    <w:rsid w:val="009F218B"/>
    <w:rsid w:val="009F42A0"/>
    <w:rsid w:val="009F4E0F"/>
    <w:rsid w:val="009F6BC8"/>
    <w:rsid w:val="009F71BA"/>
    <w:rsid w:val="00A034C8"/>
    <w:rsid w:val="00A0408D"/>
    <w:rsid w:val="00A047CA"/>
    <w:rsid w:val="00A0665A"/>
    <w:rsid w:val="00A06881"/>
    <w:rsid w:val="00A068B8"/>
    <w:rsid w:val="00A07720"/>
    <w:rsid w:val="00A10134"/>
    <w:rsid w:val="00A108BE"/>
    <w:rsid w:val="00A10BE4"/>
    <w:rsid w:val="00A10E18"/>
    <w:rsid w:val="00A10F12"/>
    <w:rsid w:val="00A115F6"/>
    <w:rsid w:val="00A11B38"/>
    <w:rsid w:val="00A131B9"/>
    <w:rsid w:val="00A14073"/>
    <w:rsid w:val="00A14B4C"/>
    <w:rsid w:val="00A14DD0"/>
    <w:rsid w:val="00A16787"/>
    <w:rsid w:val="00A1761F"/>
    <w:rsid w:val="00A20D04"/>
    <w:rsid w:val="00A21256"/>
    <w:rsid w:val="00A219DB"/>
    <w:rsid w:val="00A22213"/>
    <w:rsid w:val="00A24171"/>
    <w:rsid w:val="00A2540E"/>
    <w:rsid w:val="00A327AA"/>
    <w:rsid w:val="00A32E1E"/>
    <w:rsid w:val="00A33336"/>
    <w:rsid w:val="00A40B39"/>
    <w:rsid w:val="00A41125"/>
    <w:rsid w:val="00A41E6C"/>
    <w:rsid w:val="00A42B53"/>
    <w:rsid w:val="00A44E1A"/>
    <w:rsid w:val="00A461E9"/>
    <w:rsid w:val="00A504DD"/>
    <w:rsid w:val="00A51DF9"/>
    <w:rsid w:val="00A524A0"/>
    <w:rsid w:val="00A5303D"/>
    <w:rsid w:val="00A547A2"/>
    <w:rsid w:val="00A555C3"/>
    <w:rsid w:val="00A55C23"/>
    <w:rsid w:val="00A5680B"/>
    <w:rsid w:val="00A56BC7"/>
    <w:rsid w:val="00A61C2D"/>
    <w:rsid w:val="00A66782"/>
    <w:rsid w:val="00A724AF"/>
    <w:rsid w:val="00A72EC2"/>
    <w:rsid w:val="00A7393F"/>
    <w:rsid w:val="00A7452C"/>
    <w:rsid w:val="00A7709F"/>
    <w:rsid w:val="00A77B0D"/>
    <w:rsid w:val="00A77D27"/>
    <w:rsid w:val="00A77E72"/>
    <w:rsid w:val="00A8251B"/>
    <w:rsid w:val="00A82A2E"/>
    <w:rsid w:val="00A8368B"/>
    <w:rsid w:val="00A83D88"/>
    <w:rsid w:val="00A842A1"/>
    <w:rsid w:val="00A8455C"/>
    <w:rsid w:val="00A85031"/>
    <w:rsid w:val="00A85B7D"/>
    <w:rsid w:val="00A86054"/>
    <w:rsid w:val="00A8626A"/>
    <w:rsid w:val="00A916A9"/>
    <w:rsid w:val="00A92F23"/>
    <w:rsid w:val="00A930CC"/>
    <w:rsid w:val="00A94225"/>
    <w:rsid w:val="00A94914"/>
    <w:rsid w:val="00A95253"/>
    <w:rsid w:val="00A952FE"/>
    <w:rsid w:val="00A9558A"/>
    <w:rsid w:val="00A959AA"/>
    <w:rsid w:val="00AA0703"/>
    <w:rsid w:val="00AA1850"/>
    <w:rsid w:val="00AA1AF4"/>
    <w:rsid w:val="00AA2188"/>
    <w:rsid w:val="00AA37D6"/>
    <w:rsid w:val="00AA415D"/>
    <w:rsid w:val="00AA5850"/>
    <w:rsid w:val="00AA63CF"/>
    <w:rsid w:val="00AB0BB6"/>
    <w:rsid w:val="00AB1407"/>
    <w:rsid w:val="00AB301A"/>
    <w:rsid w:val="00AB63B6"/>
    <w:rsid w:val="00AB6490"/>
    <w:rsid w:val="00AB7587"/>
    <w:rsid w:val="00AC20CD"/>
    <w:rsid w:val="00AC3501"/>
    <w:rsid w:val="00AC46FE"/>
    <w:rsid w:val="00AC4A99"/>
    <w:rsid w:val="00AC5081"/>
    <w:rsid w:val="00AC7031"/>
    <w:rsid w:val="00AC7AD9"/>
    <w:rsid w:val="00AD034D"/>
    <w:rsid w:val="00AD1BE2"/>
    <w:rsid w:val="00AD2E2F"/>
    <w:rsid w:val="00AD3D9B"/>
    <w:rsid w:val="00AD55B2"/>
    <w:rsid w:val="00AD5B21"/>
    <w:rsid w:val="00AD5CFA"/>
    <w:rsid w:val="00AD79F4"/>
    <w:rsid w:val="00AE412D"/>
    <w:rsid w:val="00AE433B"/>
    <w:rsid w:val="00AE4460"/>
    <w:rsid w:val="00AE49C2"/>
    <w:rsid w:val="00AE66EA"/>
    <w:rsid w:val="00AE6F46"/>
    <w:rsid w:val="00AF15FC"/>
    <w:rsid w:val="00AF338F"/>
    <w:rsid w:val="00AF3A3E"/>
    <w:rsid w:val="00AF537F"/>
    <w:rsid w:val="00AF5BD4"/>
    <w:rsid w:val="00AF6462"/>
    <w:rsid w:val="00AF650B"/>
    <w:rsid w:val="00AF66A4"/>
    <w:rsid w:val="00B003B6"/>
    <w:rsid w:val="00B026F7"/>
    <w:rsid w:val="00B050D6"/>
    <w:rsid w:val="00B05A96"/>
    <w:rsid w:val="00B05F9B"/>
    <w:rsid w:val="00B062D1"/>
    <w:rsid w:val="00B06972"/>
    <w:rsid w:val="00B1019F"/>
    <w:rsid w:val="00B10FA7"/>
    <w:rsid w:val="00B116C4"/>
    <w:rsid w:val="00B11A9E"/>
    <w:rsid w:val="00B11FB8"/>
    <w:rsid w:val="00B14E61"/>
    <w:rsid w:val="00B16980"/>
    <w:rsid w:val="00B16FEB"/>
    <w:rsid w:val="00B174FD"/>
    <w:rsid w:val="00B24894"/>
    <w:rsid w:val="00B249C4"/>
    <w:rsid w:val="00B25F98"/>
    <w:rsid w:val="00B271C0"/>
    <w:rsid w:val="00B30502"/>
    <w:rsid w:val="00B30B87"/>
    <w:rsid w:val="00B313DD"/>
    <w:rsid w:val="00B335B3"/>
    <w:rsid w:val="00B33886"/>
    <w:rsid w:val="00B349F2"/>
    <w:rsid w:val="00B366D5"/>
    <w:rsid w:val="00B42687"/>
    <w:rsid w:val="00B43BE6"/>
    <w:rsid w:val="00B4564E"/>
    <w:rsid w:val="00B457A4"/>
    <w:rsid w:val="00B46393"/>
    <w:rsid w:val="00B52677"/>
    <w:rsid w:val="00B532E3"/>
    <w:rsid w:val="00B53E1F"/>
    <w:rsid w:val="00B543D4"/>
    <w:rsid w:val="00B5699F"/>
    <w:rsid w:val="00B57B8D"/>
    <w:rsid w:val="00B60A03"/>
    <w:rsid w:val="00B613C3"/>
    <w:rsid w:val="00B61713"/>
    <w:rsid w:val="00B62B59"/>
    <w:rsid w:val="00B62F02"/>
    <w:rsid w:val="00B6395E"/>
    <w:rsid w:val="00B63C92"/>
    <w:rsid w:val="00B6426E"/>
    <w:rsid w:val="00B65471"/>
    <w:rsid w:val="00B656EB"/>
    <w:rsid w:val="00B66EFC"/>
    <w:rsid w:val="00B67698"/>
    <w:rsid w:val="00B70B4C"/>
    <w:rsid w:val="00B7212F"/>
    <w:rsid w:val="00B72DE7"/>
    <w:rsid w:val="00B73DAE"/>
    <w:rsid w:val="00B73DF7"/>
    <w:rsid w:val="00B74F8A"/>
    <w:rsid w:val="00B77091"/>
    <w:rsid w:val="00B77510"/>
    <w:rsid w:val="00B77818"/>
    <w:rsid w:val="00B8282F"/>
    <w:rsid w:val="00B82E0A"/>
    <w:rsid w:val="00B83F9A"/>
    <w:rsid w:val="00B8506F"/>
    <w:rsid w:val="00B87A24"/>
    <w:rsid w:val="00B87E6E"/>
    <w:rsid w:val="00B90648"/>
    <w:rsid w:val="00B91A79"/>
    <w:rsid w:val="00B91E8E"/>
    <w:rsid w:val="00B944BE"/>
    <w:rsid w:val="00B94B56"/>
    <w:rsid w:val="00B94EF1"/>
    <w:rsid w:val="00B95B43"/>
    <w:rsid w:val="00B968EA"/>
    <w:rsid w:val="00BA2754"/>
    <w:rsid w:val="00BA3B7B"/>
    <w:rsid w:val="00BA5026"/>
    <w:rsid w:val="00BA5D3B"/>
    <w:rsid w:val="00BA65B6"/>
    <w:rsid w:val="00BA7356"/>
    <w:rsid w:val="00BB2A32"/>
    <w:rsid w:val="00BB4F52"/>
    <w:rsid w:val="00BB5E0E"/>
    <w:rsid w:val="00BC408F"/>
    <w:rsid w:val="00BC5476"/>
    <w:rsid w:val="00BC54A7"/>
    <w:rsid w:val="00BC7C77"/>
    <w:rsid w:val="00BD03CA"/>
    <w:rsid w:val="00BD21D9"/>
    <w:rsid w:val="00BD2F2B"/>
    <w:rsid w:val="00BD39EE"/>
    <w:rsid w:val="00BD3D8A"/>
    <w:rsid w:val="00BD403D"/>
    <w:rsid w:val="00BD4751"/>
    <w:rsid w:val="00BD5187"/>
    <w:rsid w:val="00BD5C84"/>
    <w:rsid w:val="00BD631D"/>
    <w:rsid w:val="00BD636E"/>
    <w:rsid w:val="00BD63B6"/>
    <w:rsid w:val="00BD682A"/>
    <w:rsid w:val="00BD6D05"/>
    <w:rsid w:val="00BD6FA8"/>
    <w:rsid w:val="00BD7C33"/>
    <w:rsid w:val="00BD7EB4"/>
    <w:rsid w:val="00BE09EF"/>
    <w:rsid w:val="00BE1D7E"/>
    <w:rsid w:val="00BE3335"/>
    <w:rsid w:val="00BE4B51"/>
    <w:rsid w:val="00BE4DFA"/>
    <w:rsid w:val="00BE5C67"/>
    <w:rsid w:val="00BE657E"/>
    <w:rsid w:val="00BE67BC"/>
    <w:rsid w:val="00BF011A"/>
    <w:rsid w:val="00BF01AF"/>
    <w:rsid w:val="00BF053B"/>
    <w:rsid w:val="00BF38E2"/>
    <w:rsid w:val="00BF3E8F"/>
    <w:rsid w:val="00BF5B51"/>
    <w:rsid w:val="00BF6A08"/>
    <w:rsid w:val="00BF6A74"/>
    <w:rsid w:val="00BF76C8"/>
    <w:rsid w:val="00C00F21"/>
    <w:rsid w:val="00C010FF"/>
    <w:rsid w:val="00C02E45"/>
    <w:rsid w:val="00C03355"/>
    <w:rsid w:val="00C036E5"/>
    <w:rsid w:val="00C039E8"/>
    <w:rsid w:val="00C03AED"/>
    <w:rsid w:val="00C04A47"/>
    <w:rsid w:val="00C05731"/>
    <w:rsid w:val="00C06A2A"/>
    <w:rsid w:val="00C06F9B"/>
    <w:rsid w:val="00C10983"/>
    <w:rsid w:val="00C1106B"/>
    <w:rsid w:val="00C12691"/>
    <w:rsid w:val="00C156E5"/>
    <w:rsid w:val="00C1753C"/>
    <w:rsid w:val="00C20CA0"/>
    <w:rsid w:val="00C23646"/>
    <w:rsid w:val="00C241DE"/>
    <w:rsid w:val="00C24D11"/>
    <w:rsid w:val="00C2511B"/>
    <w:rsid w:val="00C26357"/>
    <w:rsid w:val="00C2682C"/>
    <w:rsid w:val="00C27637"/>
    <w:rsid w:val="00C31272"/>
    <w:rsid w:val="00C31D4D"/>
    <w:rsid w:val="00C31E47"/>
    <w:rsid w:val="00C32C49"/>
    <w:rsid w:val="00C33619"/>
    <w:rsid w:val="00C3472F"/>
    <w:rsid w:val="00C362CD"/>
    <w:rsid w:val="00C3677B"/>
    <w:rsid w:val="00C4108A"/>
    <w:rsid w:val="00C439B5"/>
    <w:rsid w:val="00C45699"/>
    <w:rsid w:val="00C45A0E"/>
    <w:rsid w:val="00C46BBB"/>
    <w:rsid w:val="00C5367E"/>
    <w:rsid w:val="00C53CB7"/>
    <w:rsid w:val="00C54F5F"/>
    <w:rsid w:val="00C56D37"/>
    <w:rsid w:val="00C57735"/>
    <w:rsid w:val="00C5791D"/>
    <w:rsid w:val="00C57D1C"/>
    <w:rsid w:val="00C605B9"/>
    <w:rsid w:val="00C6103A"/>
    <w:rsid w:val="00C63584"/>
    <w:rsid w:val="00C64931"/>
    <w:rsid w:val="00C6539E"/>
    <w:rsid w:val="00C673F8"/>
    <w:rsid w:val="00C6762A"/>
    <w:rsid w:val="00C7125E"/>
    <w:rsid w:val="00C713C5"/>
    <w:rsid w:val="00C73FD8"/>
    <w:rsid w:val="00C74008"/>
    <w:rsid w:val="00C74286"/>
    <w:rsid w:val="00C75558"/>
    <w:rsid w:val="00C755EA"/>
    <w:rsid w:val="00C75CD9"/>
    <w:rsid w:val="00C7688E"/>
    <w:rsid w:val="00C7694A"/>
    <w:rsid w:val="00C76D02"/>
    <w:rsid w:val="00C76FCF"/>
    <w:rsid w:val="00C773AD"/>
    <w:rsid w:val="00C777A8"/>
    <w:rsid w:val="00C80C02"/>
    <w:rsid w:val="00C80D34"/>
    <w:rsid w:val="00C8123E"/>
    <w:rsid w:val="00C83033"/>
    <w:rsid w:val="00C8495B"/>
    <w:rsid w:val="00C90AF2"/>
    <w:rsid w:val="00C9190C"/>
    <w:rsid w:val="00C95212"/>
    <w:rsid w:val="00CA1CAC"/>
    <w:rsid w:val="00CA251A"/>
    <w:rsid w:val="00CA2B7E"/>
    <w:rsid w:val="00CA40B8"/>
    <w:rsid w:val="00CB007D"/>
    <w:rsid w:val="00CB0631"/>
    <w:rsid w:val="00CB267F"/>
    <w:rsid w:val="00CB49D5"/>
    <w:rsid w:val="00CB6B1C"/>
    <w:rsid w:val="00CB7520"/>
    <w:rsid w:val="00CC0EFB"/>
    <w:rsid w:val="00CC2447"/>
    <w:rsid w:val="00CC334B"/>
    <w:rsid w:val="00CC5233"/>
    <w:rsid w:val="00CC575B"/>
    <w:rsid w:val="00CC5BE3"/>
    <w:rsid w:val="00CC5D0A"/>
    <w:rsid w:val="00CC6786"/>
    <w:rsid w:val="00CD0B60"/>
    <w:rsid w:val="00CD1649"/>
    <w:rsid w:val="00CD169F"/>
    <w:rsid w:val="00CD3D64"/>
    <w:rsid w:val="00CD47D4"/>
    <w:rsid w:val="00CD4C7D"/>
    <w:rsid w:val="00CD4CFD"/>
    <w:rsid w:val="00CD552D"/>
    <w:rsid w:val="00CE1B7E"/>
    <w:rsid w:val="00CE24F9"/>
    <w:rsid w:val="00CE3670"/>
    <w:rsid w:val="00CE36C7"/>
    <w:rsid w:val="00CE3A9F"/>
    <w:rsid w:val="00CE3D96"/>
    <w:rsid w:val="00CE55AF"/>
    <w:rsid w:val="00CE6797"/>
    <w:rsid w:val="00CE75CF"/>
    <w:rsid w:val="00CF2302"/>
    <w:rsid w:val="00CF315E"/>
    <w:rsid w:val="00CF4448"/>
    <w:rsid w:val="00CF4891"/>
    <w:rsid w:val="00CF49D0"/>
    <w:rsid w:val="00D00723"/>
    <w:rsid w:val="00D03906"/>
    <w:rsid w:val="00D0549E"/>
    <w:rsid w:val="00D079C4"/>
    <w:rsid w:val="00D10F49"/>
    <w:rsid w:val="00D124F6"/>
    <w:rsid w:val="00D12EA1"/>
    <w:rsid w:val="00D130FC"/>
    <w:rsid w:val="00D133BE"/>
    <w:rsid w:val="00D14D2E"/>
    <w:rsid w:val="00D15315"/>
    <w:rsid w:val="00D1759E"/>
    <w:rsid w:val="00D20242"/>
    <w:rsid w:val="00D20B0D"/>
    <w:rsid w:val="00D21266"/>
    <w:rsid w:val="00D21F6F"/>
    <w:rsid w:val="00D24089"/>
    <w:rsid w:val="00D246ED"/>
    <w:rsid w:val="00D24B22"/>
    <w:rsid w:val="00D26026"/>
    <w:rsid w:val="00D3055E"/>
    <w:rsid w:val="00D309ED"/>
    <w:rsid w:val="00D33B8A"/>
    <w:rsid w:val="00D349A5"/>
    <w:rsid w:val="00D34B09"/>
    <w:rsid w:val="00D3519B"/>
    <w:rsid w:val="00D358BC"/>
    <w:rsid w:val="00D35A80"/>
    <w:rsid w:val="00D3644F"/>
    <w:rsid w:val="00D36B98"/>
    <w:rsid w:val="00D36EAC"/>
    <w:rsid w:val="00D37C72"/>
    <w:rsid w:val="00D37E40"/>
    <w:rsid w:val="00D4018B"/>
    <w:rsid w:val="00D41F16"/>
    <w:rsid w:val="00D43F54"/>
    <w:rsid w:val="00D4489F"/>
    <w:rsid w:val="00D45352"/>
    <w:rsid w:val="00D47ED0"/>
    <w:rsid w:val="00D50A1C"/>
    <w:rsid w:val="00D51D1C"/>
    <w:rsid w:val="00D52DEF"/>
    <w:rsid w:val="00D54EED"/>
    <w:rsid w:val="00D5651E"/>
    <w:rsid w:val="00D60710"/>
    <w:rsid w:val="00D61051"/>
    <w:rsid w:val="00D622A3"/>
    <w:rsid w:val="00D62366"/>
    <w:rsid w:val="00D6301B"/>
    <w:rsid w:val="00D6354C"/>
    <w:rsid w:val="00D65806"/>
    <w:rsid w:val="00D65AFE"/>
    <w:rsid w:val="00D66123"/>
    <w:rsid w:val="00D66B62"/>
    <w:rsid w:val="00D66DA0"/>
    <w:rsid w:val="00D67131"/>
    <w:rsid w:val="00D72C3D"/>
    <w:rsid w:val="00D73424"/>
    <w:rsid w:val="00D73F30"/>
    <w:rsid w:val="00D761AA"/>
    <w:rsid w:val="00D76D7B"/>
    <w:rsid w:val="00D7768E"/>
    <w:rsid w:val="00D8082B"/>
    <w:rsid w:val="00D81243"/>
    <w:rsid w:val="00D84CB4"/>
    <w:rsid w:val="00D84FAE"/>
    <w:rsid w:val="00D866AF"/>
    <w:rsid w:val="00D87941"/>
    <w:rsid w:val="00D92D53"/>
    <w:rsid w:val="00D94BA1"/>
    <w:rsid w:val="00D94E6F"/>
    <w:rsid w:val="00D965FB"/>
    <w:rsid w:val="00D97293"/>
    <w:rsid w:val="00DA0B4E"/>
    <w:rsid w:val="00DA2337"/>
    <w:rsid w:val="00DA3E84"/>
    <w:rsid w:val="00DA3F1E"/>
    <w:rsid w:val="00DA5D99"/>
    <w:rsid w:val="00DA6C1F"/>
    <w:rsid w:val="00DA7A0C"/>
    <w:rsid w:val="00DB110C"/>
    <w:rsid w:val="00DB1CFB"/>
    <w:rsid w:val="00DB75A2"/>
    <w:rsid w:val="00DB7FDF"/>
    <w:rsid w:val="00DC0CE1"/>
    <w:rsid w:val="00DC11B7"/>
    <w:rsid w:val="00DC28AE"/>
    <w:rsid w:val="00DC2CA4"/>
    <w:rsid w:val="00DC310C"/>
    <w:rsid w:val="00DC3906"/>
    <w:rsid w:val="00DC3EFE"/>
    <w:rsid w:val="00DC44E6"/>
    <w:rsid w:val="00DC48E9"/>
    <w:rsid w:val="00DC4F30"/>
    <w:rsid w:val="00DC6F37"/>
    <w:rsid w:val="00DC79AF"/>
    <w:rsid w:val="00DD1F1A"/>
    <w:rsid w:val="00DD48DB"/>
    <w:rsid w:val="00DD6677"/>
    <w:rsid w:val="00DD7549"/>
    <w:rsid w:val="00DE0159"/>
    <w:rsid w:val="00DE1E7E"/>
    <w:rsid w:val="00DE1F11"/>
    <w:rsid w:val="00DE34A0"/>
    <w:rsid w:val="00DE354F"/>
    <w:rsid w:val="00DE3A59"/>
    <w:rsid w:val="00DE421E"/>
    <w:rsid w:val="00DE4673"/>
    <w:rsid w:val="00DE4A23"/>
    <w:rsid w:val="00DE5004"/>
    <w:rsid w:val="00DE585A"/>
    <w:rsid w:val="00DF00BE"/>
    <w:rsid w:val="00DF0303"/>
    <w:rsid w:val="00DF0913"/>
    <w:rsid w:val="00DF0D79"/>
    <w:rsid w:val="00DF56A7"/>
    <w:rsid w:val="00E0221D"/>
    <w:rsid w:val="00E02A92"/>
    <w:rsid w:val="00E03F35"/>
    <w:rsid w:val="00E04AC9"/>
    <w:rsid w:val="00E06A0E"/>
    <w:rsid w:val="00E06A9B"/>
    <w:rsid w:val="00E06AA2"/>
    <w:rsid w:val="00E1051A"/>
    <w:rsid w:val="00E106FF"/>
    <w:rsid w:val="00E10C18"/>
    <w:rsid w:val="00E10C7F"/>
    <w:rsid w:val="00E13480"/>
    <w:rsid w:val="00E13DC2"/>
    <w:rsid w:val="00E16F5E"/>
    <w:rsid w:val="00E177C0"/>
    <w:rsid w:val="00E20133"/>
    <w:rsid w:val="00E2199A"/>
    <w:rsid w:val="00E25C82"/>
    <w:rsid w:val="00E3026C"/>
    <w:rsid w:val="00E314A8"/>
    <w:rsid w:val="00E31CC0"/>
    <w:rsid w:val="00E328AC"/>
    <w:rsid w:val="00E32C75"/>
    <w:rsid w:val="00E33952"/>
    <w:rsid w:val="00E346EA"/>
    <w:rsid w:val="00E35435"/>
    <w:rsid w:val="00E3661A"/>
    <w:rsid w:val="00E36F82"/>
    <w:rsid w:val="00E41516"/>
    <w:rsid w:val="00E4173C"/>
    <w:rsid w:val="00E417B6"/>
    <w:rsid w:val="00E4238A"/>
    <w:rsid w:val="00E42641"/>
    <w:rsid w:val="00E4625E"/>
    <w:rsid w:val="00E469F7"/>
    <w:rsid w:val="00E46D24"/>
    <w:rsid w:val="00E470F8"/>
    <w:rsid w:val="00E513C7"/>
    <w:rsid w:val="00E5202B"/>
    <w:rsid w:val="00E52746"/>
    <w:rsid w:val="00E52DD6"/>
    <w:rsid w:val="00E52DE0"/>
    <w:rsid w:val="00E53899"/>
    <w:rsid w:val="00E53951"/>
    <w:rsid w:val="00E54653"/>
    <w:rsid w:val="00E54B77"/>
    <w:rsid w:val="00E54B7F"/>
    <w:rsid w:val="00E555A0"/>
    <w:rsid w:val="00E55726"/>
    <w:rsid w:val="00E55A5A"/>
    <w:rsid w:val="00E56147"/>
    <w:rsid w:val="00E56A92"/>
    <w:rsid w:val="00E5747B"/>
    <w:rsid w:val="00E60DE4"/>
    <w:rsid w:val="00E60FE9"/>
    <w:rsid w:val="00E60FEF"/>
    <w:rsid w:val="00E61AC3"/>
    <w:rsid w:val="00E61BBB"/>
    <w:rsid w:val="00E62673"/>
    <w:rsid w:val="00E64512"/>
    <w:rsid w:val="00E675B3"/>
    <w:rsid w:val="00E7175D"/>
    <w:rsid w:val="00E72297"/>
    <w:rsid w:val="00E733AF"/>
    <w:rsid w:val="00E7353F"/>
    <w:rsid w:val="00E82E92"/>
    <w:rsid w:val="00E82FC4"/>
    <w:rsid w:val="00E84AA6"/>
    <w:rsid w:val="00E850B7"/>
    <w:rsid w:val="00E90E5D"/>
    <w:rsid w:val="00E91DE8"/>
    <w:rsid w:val="00E9266B"/>
    <w:rsid w:val="00E92BF8"/>
    <w:rsid w:val="00E9523C"/>
    <w:rsid w:val="00E96EAD"/>
    <w:rsid w:val="00E9700F"/>
    <w:rsid w:val="00EA2121"/>
    <w:rsid w:val="00EA2D9D"/>
    <w:rsid w:val="00EA4447"/>
    <w:rsid w:val="00EA4AEE"/>
    <w:rsid w:val="00EA586F"/>
    <w:rsid w:val="00EA61CC"/>
    <w:rsid w:val="00EA6AD4"/>
    <w:rsid w:val="00EA6D72"/>
    <w:rsid w:val="00EB04FB"/>
    <w:rsid w:val="00EB05C8"/>
    <w:rsid w:val="00EB175B"/>
    <w:rsid w:val="00EB1C0C"/>
    <w:rsid w:val="00EB2B9E"/>
    <w:rsid w:val="00EB45FD"/>
    <w:rsid w:val="00EB4998"/>
    <w:rsid w:val="00EB4B0A"/>
    <w:rsid w:val="00EB5241"/>
    <w:rsid w:val="00EB65CF"/>
    <w:rsid w:val="00EB66DC"/>
    <w:rsid w:val="00EB68FB"/>
    <w:rsid w:val="00EC08B8"/>
    <w:rsid w:val="00EC1229"/>
    <w:rsid w:val="00EC14FF"/>
    <w:rsid w:val="00EC2AFB"/>
    <w:rsid w:val="00EC3640"/>
    <w:rsid w:val="00EC4483"/>
    <w:rsid w:val="00EC4D63"/>
    <w:rsid w:val="00EC4F49"/>
    <w:rsid w:val="00EC4FEB"/>
    <w:rsid w:val="00EC6661"/>
    <w:rsid w:val="00EC6D0E"/>
    <w:rsid w:val="00ED0C66"/>
    <w:rsid w:val="00ED28EC"/>
    <w:rsid w:val="00ED35E2"/>
    <w:rsid w:val="00ED3610"/>
    <w:rsid w:val="00ED3DF6"/>
    <w:rsid w:val="00ED51D1"/>
    <w:rsid w:val="00EE227D"/>
    <w:rsid w:val="00EE2804"/>
    <w:rsid w:val="00EE37A6"/>
    <w:rsid w:val="00EE50D7"/>
    <w:rsid w:val="00EE633B"/>
    <w:rsid w:val="00EE6CC2"/>
    <w:rsid w:val="00EE751C"/>
    <w:rsid w:val="00EE7925"/>
    <w:rsid w:val="00EF02B3"/>
    <w:rsid w:val="00EF02F6"/>
    <w:rsid w:val="00EF0400"/>
    <w:rsid w:val="00EF2C5E"/>
    <w:rsid w:val="00EF3B0C"/>
    <w:rsid w:val="00EF460A"/>
    <w:rsid w:val="00EF5420"/>
    <w:rsid w:val="00EF566B"/>
    <w:rsid w:val="00EF7821"/>
    <w:rsid w:val="00F02E8E"/>
    <w:rsid w:val="00F02F9F"/>
    <w:rsid w:val="00F039D8"/>
    <w:rsid w:val="00F03ACC"/>
    <w:rsid w:val="00F03F3F"/>
    <w:rsid w:val="00F04998"/>
    <w:rsid w:val="00F04A14"/>
    <w:rsid w:val="00F051CE"/>
    <w:rsid w:val="00F05569"/>
    <w:rsid w:val="00F06716"/>
    <w:rsid w:val="00F067CB"/>
    <w:rsid w:val="00F073D9"/>
    <w:rsid w:val="00F106C0"/>
    <w:rsid w:val="00F11880"/>
    <w:rsid w:val="00F11AD6"/>
    <w:rsid w:val="00F11FC3"/>
    <w:rsid w:val="00F14BF3"/>
    <w:rsid w:val="00F159A0"/>
    <w:rsid w:val="00F15FD2"/>
    <w:rsid w:val="00F167A8"/>
    <w:rsid w:val="00F17FD4"/>
    <w:rsid w:val="00F20DAD"/>
    <w:rsid w:val="00F243A3"/>
    <w:rsid w:val="00F24916"/>
    <w:rsid w:val="00F2509D"/>
    <w:rsid w:val="00F258E3"/>
    <w:rsid w:val="00F26902"/>
    <w:rsid w:val="00F26DB5"/>
    <w:rsid w:val="00F27422"/>
    <w:rsid w:val="00F27845"/>
    <w:rsid w:val="00F27F98"/>
    <w:rsid w:val="00F30363"/>
    <w:rsid w:val="00F32C7C"/>
    <w:rsid w:val="00F32D44"/>
    <w:rsid w:val="00F34400"/>
    <w:rsid w:val="00F3695B"/>
    <w:rsid w:val="00F36CA0"/>
    <w:rsid w:val="00F36CF3"/>
    <w:rsid w:val="00F37B45"/>
    <w:rsid w:val="00F41912"/>
    <w:rsid w:val="00F41BF6"/>
    <w:rsid w:val="00F41E45"/>
    <w:rsid w:val="00F4404F"/>
    <w:rsid w:val="00F4410A"/>
    <w:rsid w:val="00F4508D"/>
    <w:rsid w:val="00F4531D"/>
    <w:rsid w:val="00F503A2"/>
    <w:rsid w:val="00F515CB"/>
    <w:rsid w:val="00F5255C"/>
    <w:rsid w:val="00F5429C"/>
    <w:rsid w:val="00F54AB8"/>
    <w:rsid w:val="00F56535"/>
    <w:rsid w:val="00F56D1C"/>
    <w:rsid w:val="00F5756A"/>
    <w:rsid w:val="00F64811"/>
    <w:rsid w:val="00F64CBF"/>
    <w:rsid w:val="00F66C5F"/>
    <w:rsid w:val="00F673D1"/>
    <w:rsid w:val="00F70BE6"/>
    <w:rsid w:val="00F72639"/>
    <w:rsid w:val="00F74F23"/>
    <w:rsid w:val="00F74F54"/>
    <w:rsid w:val="00F750C8"/>
    <w:rsid w:val="00F7638B"/>
    <w:rsid w:val="00F7686F"/>
    <w:rsid w:val="00F81F6B"/>
    <w:rsid w:val="00F8232A"/>
    <w:rsid w:val="00F82455"/>
    <w:rsid w:val="00F830E4"/>
    <w:rsid w:val="00F8382D"/>
    <w:rsid w:val="00F83A26"/>
    <w:rsid w:val="00F84838"/>
    <w:rsid w:val="00F86BC2"/>
    <w:rsid w:val="00F86D00"/>
    <w:rsid w:val="00F90CF6"/>
    <w:rsid w:val="00F91022"/>
    <w:rsid w:val="00F92654"/>
    <w:rsid w:val="00F948D4"/>
    <w:rsid w:val="00F94C2C"/>
    <w:rsid w:val="00F95933"/>
    <w:rsid w:val="00F964B2"/>
    <w:rsid w:val="00FA5598"/>
    <w:rsid w:val="00FB31E7"/>
    <w:rsid w:val="00FB347D"/>
    <w:rsid w:val="00FB34BF"/>
    <w:rsid w:val="00FB35C9"/>
    <w:rsid w:val="00FB37E8"/>
    <w:rsid w:val="00FB5699"/>
    <w:rsid w:val="00FB6CA5"/>
    <w:rsid w:val="00FC0849"/>
    <w:rsid w:val="00FC267D"/>
    <w:rsid w:val="00FC3C75"/>
    <w:rsid w:val="00FC547E"/>
    <w:rsid w:val="00FC5EDB"/>
    <w:rsid w:val="00FC6EEB"/>
    <w:rsid w:val="00FD0270"/>
    <w:rsid w:val="00FD0D95"/>
    <w:rsid w:val="00FD2849"/>
    <w:rsid w:val="00FD42F2"/>
    <w:rsid w:val="00FD4D05"/>
    <w:rsid w:val="00FD575E"/>
    <w:rsid w:val="00FD689A"/>
    <w:rsid w:val="00FE09E5"/>
    <w:rsid w:val="00FE0C18"/>
    <w:rsid w:val="00FE24D4"/>
    <w:rsid w:val="00FE3714"/>
    <w:rsid w:val="00FE48EF"/>
    <w:rsid w:val="00FE4BF4"/>
    <w:rsid w:val="00FE5316"/>
    <w:rsid w:val="00FE5F32"/>
    <w:rsid w:val="00FF05BB"/>
    <w:rsid w:val="00FF18E5"/>
    <w:rsid w:val="00FF2636"/>
    <w:rsid w:val="00FF278B"/>
    <w:rsid w:val="00FF33E0"/>
    <w:rsid w:val="00FF6814"/>
    <w:rsid w:val="00FF6B5E"/>
    <w:rsid w:val="00FF774D"/>
    <w:rsid w:val="05907EAC"/>
    <w:rsid w:val="0A222E0B"/>
    <w:rsid w:val="0B601D85"/>
    <w:rsid w:val="11633C49"/>
    <w:rsid w:val="1B8D22C6"/>
    <w:rsid w:val="42F67A3A"/>
    <w:rsid w:val="46A3254E"/>
    <w:rsid w:val="4B14005C"/>
    <w:rsid w:val="51103141"/>
    <w:rsid w:val="5717324D"/>
    <w:rsid w:val="601B12A2"/>
    <w:rsid w:val="7A9867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C7"/>
    <w:pPr>
      <w:widowControl w:val="0"/>
      <w:jc w:val="both"/>
    </w:pPr>
  </w:style>
  <w:style w:type="paragraph" w:styleId="Heading1">
    <w:name w:val="heading 1"/>
    <w:basedOn w:val="Normal"/>
    <w:next w:val="Normal"/>
    <w:link w:val="Heading1Char"/>
    <w:uiPriority w:val="99"/>
    <w:qFormat/>
    <w:rsid w:val="00CE36C7"/>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locked/>
    <w:rsid w:val="00CE36C7"/>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36C7"/>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CE36C7"/>
    <w:rPr>
      <w:rFonts w:ascii="Cambria" w:hAnsi="Cambria" w:cs="Times New Roman"/>
      <w:b/>
      <w:bCs/>
      <w:kern w:val="2"/>
      <w:sz w:val="32"/>
      <w:szCs w:val="32"/>
    </w:rPr>
  </w:style>
  <w:style w:type="paragraph" w:styleId="CommentText">
    <w:name w:val="annotation text"/>
    <w:basedOn w:val="Normal"/>
    <w:link w:val="CommentTextChar"/>
    <w:uiPriority w:val="99"/>
    <w:rsid w:val="00CE36C7"/>
    <w:pPr>
      <w:jc w:val="left"/>
    </w:pPr>
  </w:style>
  <w:style w:type="character" w:customStyle="1" w:styleId="CommentTextChar">
    <w:name w:val="Comment Text Char"/>
    <w:basedOn w:val="DefaultParagraphFont"/>
    <w:link w:val="CommentText"/>
    <w:uiPriority w:val="99"/>
    <w:semiHidden/>
    <w:locked/>
    <w:rsid w:val="00CE36C7"/>
    <w:rPr>
      <w:rFonts w:cs="Times New Roman"/>
      <w:kern w:val="2"/>
      <w:sz w:val="22"/>
      <w:szCs w:val="22"/>
    </w:rPr>
  </w:style>
  <w:style w:type="paragraph" w:styleId="CommentSubject">
    <w:name w:val="annotation subject"/>
    <w:basedOn w:val="CommentText"/>
    <w:next w:val="CommentText"/>
    <w:link w:val="CommentSubjectChar"/>
    <w:uiPriority w:val="99"/>
    <w:rsid w:val="00CE36C7"/>
    <w:rPr>
      <w:b/>
      <w:bCs/>
    </w:rPr>
  </w:style>
  <w:style w:type="character" w:customStyle="1" w:styleId="CommentSubjectChar">
    <w:name w:val="Comment Subject Char"/>
    <w:basedOn w:val="CommentTextChar"/>
    <w:link w:val="CommentSubject"/>
    <w:uiPriority w:val="99"/>
    <w:semiHidden/>
    <w:locked/>
    <w:rsid w:val="00CE36C7"/>
    <w:rPr>
      <w:b/>
      <w:bCs/>
    </w:rPr>
  </w:style>
  <w:style w:type="paragraph" w:styleId="TOC7">
    <w:name w:val="toc 7"/>
    <w:basedOn w:val="Normal"/>
    <w:next w:val="Normal"/>
    <w:uiPriority w:val="99"/>
    <w:locked/>
    <w:rsid w:val="00CE36C7"/>
    <w:pPr>
      <w:ind w:leftChars="1200" w:left="2520"/>
    </w:pPr>
  </w:style>
  <w:style w:type="paragraph" w:styleId="TOC5">
    <w:name w:val="toc 5"/>
    <w:basedOn w:val="Normal"/>
    <w:next w:val="Normal"/>
    <w:uiPriority w:val="99"/>
    <w:locked/>
    <w:rsid w:val="00CE36C7"/>
    <w:pPr>
      <w:ind w:leftChars="800" w:left="1680"/>
    </w:pPr>
  </w:style>
  <w:style w:type="paragraph" w:styleId="TOC3">
    <w:name w:val="toc 3"/>
    <w:basedOn w:val="Normal"/>
    <w:next w:val="Normal"/>
    <w:uiPriority w:val="99"/>
    <w:locked/>
    <w:rsid w:val="00CE36C7"/>
    <w:pPr>
      <w:ind w:leftChars="400" w:left="840"/>
    </w:pPr>
  </w:style>
  <w:style w:type="paragraph" w:styleId="TOC8">
    <w:name w:val="toc 8"/>
    <w:basedOn w:val="Normal"/>
    <w:next w:val="Normal"/>
    <w:uiPriority w:val="99"/>
    <w:locked/>
    <w:rsid w:val="00CE36C7"/>
    <w:pPr>
      <w:ind w:leftChars="1400" w:left="2940"/>
    </w:pPr>
  </w:style>
  <w:style w:type="paragraph" w:styleId="BalloonText">
    <w:name w:val="Balloon Text"/>
    <w:basedOn w:val="Normal"/>
    <w:link w:val="BalloonTextChar"/>
    <w:uiPriority w:val="99"/>
    <w:rsid w:val="00CE36C7"/>
    <w:rPr>
      <w:sz w:val="18"/>
      <w:szCs w:val="18"/>
    </w:rPr>
  </w:style>
  <w:style w:type="character" w:customStyle="1" w:styleId="BalloonTextChar">
    <w:name w:val="Balloon Text Char"/>
    <w:basedOn w:val="DefaultParagraphFont"/>
    <w:link w:val="BalloonText"/>
    <w:uiPriority w:val="99"/>
    <w:semiHidden/>
    <w:locked/>
    <w:rsid w:val="00CE36C7"/>
    <w:rPr>
      <w:rFonts w:cs="Times New Roman"/>
      <w:kern w:val="2"/>
      <w:sz w:val="18"/>
      <w:szCs w:val="18"/>
    </w:rPr>
  </w:style>
  <w:style w:type="paragraph" w:styleId="Footer">
    <w:name w:val="footer"/>
    <w:basedOn w:val="Normal"/>
    <w:link w:val="FooterChar"/>
    <w:uiPriority w:val="99"/>
    <w:rsid w:val="00CE36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E36C7"/>
    <w:rPr>
      <w:rFonts w:cs="Times New Roman"/>
      <w:sz w:val="18"/>
      <w:szCs w:val="18"/>
    </w:rPr>
  </w:style>
  <w:style w:type="paragraph" w:styleId="Header">
    <w:name w:val="header"/>
    <w:basedOn w:val="Normal"/>
    <w:link w:val="HeaderChar"/>
    <w:uiPriority w:val="99"/>
    <w:rsid w:val="00CE36C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E36C7"/>
    <w:rPr>
      <w:rFonts w:cs="Times New Roman"/>
      <w:sz w:val="18"/>
      <w:szCs w:val="18"/>
    </w:rPr>
  </w:style>
  <w:style w:type="paragraph" w:styleId="TOC1">
    <w:name w:val="toc 1"/>
    <w:basedOn w:val="Normal"/>
    <w:next w:val="Normal"/>
    <w:uiPriority w:val="99"/>
    <w:locked/>
    <w:rsid w:val="00CE36C7"/>
    <w:pPr>
      <w:tabs>
        <w:tab w:val="right" w:leader="dot" w:pos="8290"/>
      </w:tabs>
      <w:jc w:val="center"/>
    </w:pPr>
    <w:rPr>
      <w:rFonts w:ascii="华文中宋" w:eastAsia="华文中宋" w:hAnsi="华文中宋"/>
      <w:kern w:val="0"/>
      <w:sz w:val="36"/>
      <w:szCs w:val="36"/>
    </w:rPr>
  </w:style>
  <w:style w:type="paragraph" w:styleId="TOC4">
    <w:name w:val="toc 4"/>
    <w:basedOn w:val="Normal"/>
    <w:next w:val="Normal"/>
    <w:uiPriority w:val="99"/>
    <w:locked/>
    <w:rsid w:val="00CE36C7"/>
    <w:pPr>
      <w:ind w:leftChars="600" w:left="1260"/>
    </w:pPr>
  </w:style>
  <w:style w:type="paragraph" w:styleId="TOC6">
    <w:name w:val="toc 6"/>
    <w:basedOn w:val="Normal"/>
    <w:next w:val="Normal"/>
    <w:uiPriority w:val="99"/>
    <w:locked/>
    <w:rsid w:val="00CE36C7"/>
    <w:pPr>
      <w:ind w:leftChars="1000" w:left="2100"/>
    </w:pPr>
  </w:style>
  <w:style w:type="paragraph" w:styleId="TOC2">
    <w:name w:val="toc 2"/>
    <w:basedOn w:val="Normal"/>
    <w:next w:val="Normal"/>
    <w:uiPriority w:val="99"/>
    <w:locked/>
    <w:rsid w:val="00CE36C7"/>
    <w:pPr>
      <w:ind w:leftChars="200" w:left="420"/>
    </w:pPr>
  </w:style>
  <w:style w:type="paragraph" w:styleId="TOC9">
    <w:name w:val="toc 9"/>
    <w:basedOn w:val="Normal"/>
    <w:next w:val="Normal"/>
    <w:uiPriority w:val="99"/>
    <w:locked/>
    <w:rsid w:val="00CE36C7"/>
    <w:pPr>
      <w:ind w:leftChars="1600" w:left="3360"/>
    </w:pPr>
  </w:style>
  <w:style w:type="paragraph" w:styleId="NormalWeb">
    <w:name w:val="Normal (Web)"/>
    <w:basedOn w:val="Normal"/>
    <w:uiPriority w:val="99"/>
    <w:rsid w:val="00CE36C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locked/>
    <w:rsid w:val="00CE36C7"/>
    <w:rPr>
      <w:rFonts w:cs="Times New Roman"/>
      <w:b/>
      <w:bCs/>
    </w:rPr>
  </w:style>
  <w:style w:type="character" w:styleId="Hyperlink">
    <w:name w:val="Hyperlink"/>
    <w:basedOn w:val="DefaultParagraphFont"/>
    <w:uiPriority w:val="99"/>
    <w:rsid w:val="00CE36C7"/>
    <w:rPr>
      <w:rFonts w:cs="Times New Roman"/>
      <w:color w:val="0000FF"/>
      <w:u w:val="single"/>
    </w:rPr>
  </w:style>
  <w:style w:type="character" w:styleId="CommentReference">
    <w:name w:val="annotation reference"/>
    <w:basedOn w:val="DefaultParagraphFont"/>
    <w:uiPriority w:val="99"/>
    <w:rsid w:val="00CE36C7"/>
    <w:rPr>
      <w:rFonts w:cs="Times New Roman"/>
      <w:sz w:val="21"/>
      <w:szCs w:val="21"/>
    </w:rPr>
  </w:style>
  <w:style w:type="paragraph" w:customStyle="1" w:styleId="1">
    <w:name w:val="列出段落1"/>
    <w:basedOn w:val="Normal"/>
    <w:uiPriority w:val="99"/>
    <w:rsid w:val="00CE36C7"/>
    <w:pPr>
      <w:ind w:firstLineChars="200" w:firstLine="420"/>
    </w:pPr>
  </w:style>
  <w:style w:type="paragraph" w:customStyle="1" w:styleId="a">
    <w:name w:val="手册正文"/>
    <w:basedOn w:val="Normal"/>
    <w:link w:val="Char"/>
    <w:uiPriority w:val="99"/>
    <w:rsid w:val="00CE36C7"/>
    <w:pPr>
      <w:spacing w:line="500" w:lineRule="exact"/>
      <w:ind w:firstLineChars="200" w:firstLine="560"/>
    </w:pPr>
    <w:rPr>
      <w:rFonts w:ascii="仿宋_GB2312" w:eastAsia="仿宋_GB2312" w:hAnsi="宋体"/>
      <w:color w:val="000000"/>
      <w:kern w:val="0"/>
      <w:sz w:val="28"/>
      <w:szCs w:val="20"/>
    </w:rPr>
  </w:style>
  <w:style w:type="character" w:customStyle="1" w:styleId="Char">
    <w:name w:val="手册正文 Char"/>
    <w:link w:val="a"/>
    <w:uiPriority w:val="99"/>
    <w:locked/>
    <w:rsid w:val="00CE36C7"/>
    <w:rPr>
      <w:rFonts w:ascii="仿宋_GB2312" w:eastAsia="仿宋_GB2312" w:hAnsi="宋体"/>
      <w:color w:val="000000"/>
      <w:sz w:val="28"/>
    </w:rPr>
  </w:style>
  <w:style w:type="paragraph" w:customStyle="1" w:styleId="10">
    <w:name w:val="无间隔1"/>
    <w:uiPriority w:val="99"/>
    <w:rsid w:val="00CE36C7"/>
    <w:pPr>
      <w:widowControl w:val="0"/>
      <w:jc w:val="both"/>
    </w:pPr>
  </w:style>
  <w:style w:type="paragraph" w:customStyle="1" w:styleId="11">
    <w:name w:val="无间隔11"/>
    <w:uiPriority w:val="99"/>
    <w:rsid w:val="00CE36C7"/>
    <w:pPr>
      <w:widowControl w:val="0"/>
      <w:jc w:val="both"/>
    </w:pPr>
  </w:style>
  <w:style w:type="paragraph" w:customStyle="1" w:styleId="TOC10">
    <w:name w:val="TOC 标题1"/>
    <w:basedOn w:val="Heading1"/>
    <w:next w:val="Normal"/>
    <w:uiPriority w:val="99"/>
    <w:rsid w:val="00CE36C7"/>
    <w:pPr>
      <w:widowControl/>
      <w:spacing w:before="240" w:after="0" w:line="259" w:lineRule="auto"/>
      <w:jc w:val="left"/>
      <w:outlineLvl w:val="9"/>
    </w:pPr>
    <w:rPr>
      <w:rFonts w:ascii="Cambria" w:hAnsi="Cambria"/>
      <w:b w:val="0"/>
      <w:bCs w:val="0"/>
      <w:color w:val="365F91"/>
      <w:kern w:val="0"/>
      <w:sz w:val="32"/>
      <w:szCs w:val="32"/>
    </w:rPr>
  </w:style>
  <w:style w:type="paragraph" w:customStyle="1" w:styleId="12">
    <w:name w:val="修订1"/>
    <w:hidden/>
    <w:uiPriority w:val="99"/>
    <w:semiHidden/>
    <w:rsid w:val="00CE36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93</Pages>
  <Words>5622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2015-08-24T02:11:00Z</dcterms:created>
  <dc:creator>ThinkPad</dc:creator>
  <lastModifiedBy>User</lastModifiedBy>
  <lastPrinted>2015-08-24T02:11:00Z</lastPrinted>
  <dcterms:modified xsi:type="dcterms:W3CDTF">2016-05-20T02:10:00Z</dcterms:modified>
  <revision>915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